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E0" w:rsidRPr="00A24D33" w:rsidRDefault="00E529E0" w:rsidP="00E529E0">
      <w:pPr>
        <w:pStyle w:val="Frumvarp-athugasemdirfyrirsgn"/>
      </w:pPr>
      <w:bookmarkStart w:id="0" w:name="_GoBack"/>
      <w:bookmarkEnd w:id="0"/>
      <w:r w:rsidRPr="00A24D33">
        <w:t>REGLUGERÐ</w:t>
      </w:r>
    </w:p>
    <w:p w:rsidR="009804B5" w:rsidRDefault="00E529E0" w:rsidP="00E529E0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um </w:t>
      </w:r>
      <w:r w:rsidR="009804B5">
        <w:rPr>
          <w:b/>
          <w:sz w:val="21"/>
          <w:szCs w:val="21"/>
        </w:rPr>
        <w:t xml:space="preserve">breytingu á reglugerð nr. 816/2011, </w:t>
      </w:r>
    </w:p>
    <w:p w:rsidR="00E529E0" w:rsidRDefault="009804B5" w:rsidP="00E529E0">
      <w:pPr>
        <w:pStyle w:val="NoSpacing"/>
        <w:jc w:val="center"/>
        <w:rPr>
          <w:sz w:val="21"/>
          <w:szCs w:val="21"/>
        </w:rPr>
      </w:pPr>
      <w:r>
        <w:rPr>
          <w:b/>
          <w:sz w:val="21"/>
          <w:szCs w:val="21"/>
        </w:rPr>
        <w:t>um hafnarríkiseftirlit, með síðari breytingum</w:t>
      </w:r>
      <w:r w:rsidR="00E529E0">
        <w:rPr>
          <w:b/>
          <w:sz w:val="21"/>
          <w:szCs w:val="21"/>
        </w:rPr>
        <w:t>.</w:t>
      </w:r>
    </w:p>
    <w:p w:rsidR="00366187" w:rsidRDefault="00366187" w:rsidP="00E529E0">
      <w:pPr>
        <w:pStyle w:val="NoSpacing"/>
        <w:rPr>
          <w:sz w:val="24"/>
        </w:rPr>
      </w:pPr>
    </w:p>
    <w:p w:rsidR="00E529E0" w:rsidRDefault="00E529E0" w:rsidP="00E529E0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1. gr.</w:t>
      </w:r>
    </w:p>
    <w:p w:rsidR="00E529E0" w:rsidRPr="00E529E0" w:rsidRDefault="00E529E0" w:rsidP="00E529E0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>Breyting á reglugerð vegna nýrra samgöngustofnana.</w:t>
      </w:r>
    </w:p>
    <w:p w:rsidR="00E529E0" w:rsidRDefault="00E529E0" w:rsidP="00E529E0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Hvar sem orðin „Siglingastofnun Íslands“ og „Siglingastofnun“, í hvers konar beygingarfalli, kemur fyrir í reglugerðinni, skal koma í viðeigandi beygingarfalli orðið „Samgöngustofa“. </w:t>
      </w:r>
    </w:p>
    <w:p w:rsidR="00E529E0" w:rsidRDefault="00E529E0" w:rsidP="00E529E0">
      <w:pPr>
        <w:pStyle w:val="NoSpacing"/>
        <w:jc w:val="both"/>
        <w:rPr>
          <w:sz w:val="21"/>
          <w:szCs w:val="21"/>
        </w:rPr>
      </w:pPr>
    </w:p>
    <w:p w:rsidR="00E529E0" w:rsidRDefault="00E529E0" w:rsidP="00E529E0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2. gr. </w:t>
      </w:r>
    </w:p>
    <w:p w:rsidR="00E529E0" w:rsidRDefault="003B0FF7" w:rsidP="003B0F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2. gr. reglugerðarinnar:</w:t>
      </w:r>
    </w:p>
    <w:p w:rsidR="003B0FF7" w:rsidRDefault="003B0FF7" w:rsidP="003B0FF7">
      <w:pPr>
        <w:pStyle w:val="NoSpacing"/>
        <w:numPr>
          <w:ilvl w:val="0"/>
          <w:numId w:val="1"/>
        </w:numPr>
        <w:ind w:left="284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g-liður</w:t>
      </w:r>
      <w:proofErr w:type="spellEnd"/>
      <w:r>
        <w:rPr>
          <w:sz w:val="21"/>
          <w:szCs w:val="21"/>
        </w:rPr>
        <w:t xml:space="preserve"> 1. </w:t>
      </w:r>
      <w:proofErr w:type="spellStart"/>
      <w:r>
        <w:rPr>
          <w:sz w:val="21"/>
          <w:szCs w:val="21"/>
        </w:rPr>
        <w:t>tölul</w:t>
      </w:r>
      <w:proofErr w:type="spellEnd"/>
      <w:r>
        <w:rPr>
          <w:sz w:val="21"/>
          <w:szCs w:val="21"/>
        </w:rPr>
        <w:t>. orðast svo:</w:t>
      </w:r>
    </w:p>
    <w:p w:rsidR="003B0FF7" w:rsidRDefault="003B0FF7" w:rsidP="003B0FF7">
      <w:pPr>
        <w:pStyle w:val="NoSpacing"/>
        <w:spacing w:after="120"/>
        <w:ind w:left="284" w:firstLine="284"/>
        <w:jc w:val="both"/>
        <w:rPr>
          <w:sz w:val="21"/>
          <w:szCs w:val="21"/>
        </w:rPr>
      </w:pPr>
      <w:r>
        <w:rPr>
          <w:sz w:val="21"/>
          <w:szCs w:val="21"/>
        </w:rPr>
        <w:t>[Hér á að vera eyða.]</w:t>
      </w:r>
    </w:p>
    <w:p w:rsidR="003B0FF7" w:rsidRDefault="007D581A" w:rsidP="003B0FF7">
      <w:pPr>
        <w:pStyle w:val="NoSpacing"/>
        <w:numPr>
          <w:ilvl w:val="0"/>
          <w:numId w:val="1"/>
        </w:num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Við 1. </w:t>
      </w:r>
      <w:proofErr w:type="spellStart"/>
      <w:r>
        <w:rPr>
          <w:sz w:val="21"/>
          <w:szCs w:val="21"/>
        </w:rPr>
        <w:t>tölul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bætast</w:t>
      </w:r>
      <w:proofErr w:type="spellEnd"/>
      <w:r>
        <w:rPr>
          <w:sz w:val="21"/>
          <w:szCs w:val="21"/>
        </w:rPr>
        <w:t xml:space="preserve"> við þrír nýir stafliðir</w:t>
      </w:r>
      <w:r w:rsidR="003B0FF7">
        <w:rPr>
          <w:sz w:val="21"/>
          <w:szCs w:val="21"/>
        </w:rPr>
        <w:t>.:</w:t>
      </w:r>
    </w:p>
    <w:p w:rsidR="003B0FF7" w:rsidRDefault="003B0FF7" w:rsidP="003B0F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i) samþykkt um vinnuskilyrði farmanna frá 2006 (MLC</w:t>
      </w:r>
      <w:r w:rsidR="002C3120">
        <w:rPr>
          <w:sz w:val="21"/>
          <w:szCs w:val="21"/>
        </w:rPr>
        <w:t xml:space="preserve"> 2006</w:t>
      </w:r>
      <w:r>
        <w:rPr>
          <w:sz w:val="21"/>
          <w:szCs w:val="21"/>
        </w:rPr>
        <w:t>),</w:t>
      </w:r>
    </w:p>
    <w:p w:rsidR="003B0FF7" w:rsidRDefault="003B0FF7" w:rsidP="003B0F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j) alþjóðasamningur um eftirlit með skaðlegum, </w:t>
      </w:r>
      <w:proofErr w:type="spellStart"/>
      <w:r>
        <w:rPr>
          <w:sz w:val="21"/>
          <w:szCs w:val="21"/>
        </w:rPr>
        <w:t>gróðurhindrandi</w:t>
      </w:r>
      <w:proofErr w:type="spellEnd"/>
      <w:r>
        <w:rPr>
          <w:sz w:val="21"/>
          <w:szCs w:val="21"/>
        </w:rPr>
        <w:t xml:space="preserve"> efnum og/eða búnaði á skipum frá 2001 (</w:t>
      </w:r>
      <w:proofErr w:type="spellStart"/>
      <w:r>
        <w:rPr>
          <w:sz w:val="21"/>
          <w:szCs w:val="21"/>
        </w:rPr>
        <w:t>AFS-samningurinn</w:t>
      </w:r>
      <w:proofErr w:type="spellEnd"/>
      <w:r>
        <w:rPr>
          <w:sz w:val="21"/>
          <w:szCs w:val="21"/>
        </w:rPr>
        <w:t xml:space="preserve">), </w:t>
      </w:r>
    </w:p>
    <w:p w:rsidR="003B0FF7" w:rsidRDefault="003B0FF7" w:rsidP="003B0FF7">
      <w:pPr>
        <w:pStyle w:val="NoSpacing"/>
        <w:spacing w:after="120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k) alþjóðasamningur um einkaréttarlega ábyrgð vegna tjóns af völdum mengunar sem stafar frá eldsneytisolíu skipa frá 2001 (</w:t>
      </w:r>
      <w:proofErr w:type="spellStart"/>
      <w:r>
        <w:rPr>
          <w:sz w:val="21"/>
          <w:szCs w:val="21"/>
        </w:rPr>
        <w:t>Bunkers-samningurinn</w:t>
      </w:r>
      <w:proofErr w:type="spellEnd"/>
      <w:r>
        <w:rPr>
          <w:sz w:val="21"/>
          <w:szCs w:val="21"/>
        </w:rPr>
        <w:t xml:space="preserve"> 2001).</w:t>
      </w:r>
    </w:p>
    <w:p w:rsidR="003B0FF7" w:rsidRDefault="007D581A" w:rsidP="003B0FF7">
      <w:pPr>
        <w:pStyle w:val="NoSpacing"/>
        <w:numPr>
          <w:ilvl w:val="0"/>
          <w:numId w:val="1"/>
        </w:num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Við greinina </w:t>
      </w:r>
      <w:proofErr w:type="spellStart"/>
      <w:r>
        <w:rPr>
          <w:sz w:val="21"/>
          <w:szCs w:val="21"/>
        </w:rPr>
        <w:t>bætast</w:t>
      </w:r>
      <w:proofErr w:type="spellEnd"/>
      <w:r>
        <w:rPr>
          <w:sz w:val="21"/>
          <w:szCs w:val="21"/>
        </w:rPr>
        <w:t xml:space="preserve"> tveir nýir </w:t>
      </w:r>
      <w:proofErr w:type="spellStart"/>
      <w:r>
        <w:rPr>
          <w:sz w:val="21"/>
          <w:szCs w:val="21"/>
        </w:rPr>
        <w:t>tölul</w:t>
      </w:r>
      <w:proofErr w:type="spellEnd"/>
      <w:r>
        <w:rPr>
          <w:sz w:val="21"/>
          <w:szCs w:val="21"/>
        </w:rPr>
        <w:t>., svohljóðandi</w:t>
      </w:r>
      <w:r w:rsidR="003B0FF7">
        <w:rPr>
          <w:sz w:val="21"/>
          <w:szCs w:val="21"/>
        </w:rPr>
        <w:t>:</w:t>
      </w:r>
    </w:p>
    <w:p w:rsidR="003B0FF7" w:rsidRDefault="003B0FF7" w:rsidP="003B0F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23. </w:t>
      </w:r>
      <w:r>
        <w:rPr>
          <w:i/>
          <w:sz w:val="21"/>
          <w:szCs w:val="21"/>
        </w:rPr>
        <w:t xml:space="preserve">Skírteini um vinnuskilyrði farmanna: </w:t>
      </w:r>
      <w:r>
        <w:rPr>
          <w:sz w:val="21"/>
          <w:szCs w:val="21"/>
        </w:rPr>
        <w:t>Skírteinið sem um getur í reglu 5.1.3 í samþykkt um vinnuskilyrði farmanna.</w:t>
      </w:r>
    </w:p>
    <w:p w:rsidR="003B0FF7" w:rsidRDefault="003B0FF7" w:rsidP="003B0FF7">
      <w:pPr>
        <w:pStyle w:val="NoSpacing"/>
        <w:spacing w:after="120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24. </w:t>
      </w:r>
      <w:r>
        <w:rPr>
          <w:i/>
          <w:sz w:val="21"/>
          <w:szCs w:val="21"/>
        </w:rPr>
        <w:t xml:space="preserve">Yfirlýsing um samræmi við reglur um vinnuskilyrði farmanna: </w:t>
      </w:r>
      <w:r>
        <w:rPr>
          <w:sz w:val="21"/>
          <w:szCs w:val="21"/>
        </w:rPr>
        <w:t>Yfirlýsingin sem um getur í reglu 5.1.3 í samþykkt um vinnuskilyrði farmanna.</w:t>
      </w:r>
    </w:p>
    <w:p w:rsidR="003B0FF7" w:rsidRDefault="007D581A" w:rsidP="003B0FF7">
      <w:pPr>
        <w:pStyle w:val="NoSpacing"/>
        <w:numPr>
          <w:ilvl w:val="0"/>
          <w:numId w:val="1"/>
        </w:num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Við greinina </w:t>
      </w:r>
      <w:proofErr w:type="spellStart"/>
      <w:r>
        <w:rPr>
          <w:sz w:val="21"/>
          <w:szCs w:val="21"/>
        </w:rPr>
        <w:t>bætist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ný</w:t>
      </w:r>
      <w:proofErr w:type="spellEnd"/>
      <w:r>
        <w:rPr>
          <w:sz w:val="21"/>
          <w:szCs w:val="21"/>
        </w:rPr>
        <w:t xml:space="preserve"> málsgrein, svohljóðandi</w:t>
      </w:r>
      <w:r w:rsidR="003B0FF7">
        <w:rPr>
          <w:sz w:val="21"/>
          <w:szCs w:val="21"/>
        </w:rPr>
        <w:t>:</w:t>
      </w:r>
    </w:p>
    <w:p w:rsidR="003B0FF7" w:rsidRDefault="003B0FF7" w:rsidP="003B0F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Allar tilvísanir í þessari reglugerð í samninga, alþjóðakóða og ályktanir, </w:t>
      </w:r>
      <w:proofErr w:type="spellStart"/>
      <w:r>
        <w:rPr>
          <w:sz w:val="21"/>
          <w:szCs w:val="21"/>
        </w:rPr>
        <w:t>þ.m.t</w:t>
      </w:r>
      <w:proofErr w:type="spellEnd"/>
      <w:r>
        <w:rPr>
          <w:sz w:val="21"/>
          <w:szCs w:val="21"/>
        </w:rPr>
        <w:t xml:space="preserve">. að því er varðar skírteini og önnur skjöl, teljast vera tilvísanir í uppfærðar </w:t>
      </w:r>
      <w:proofErr w:type="spellStart"/>
      <w:r>
        <w:rPr>
          <w:sz w:val="21"/>
          <w:szCs w:val="21"/>
        </w:rPr>
        <w:t>útgáfur</w:t>
      </w:r>
      <w:proofErr w:type="spellEnd"/>
      <w:r>
        <w:rPr>
          <w:sz w:val="21"/>
          <w:szCs w:val="21"/>
        </w:rPr>
        <w:t xml:space="preserve"> þessara samninga, alþjóðakóða og ályktana. </w:t>
      </w:r>
    </w:p>
    <w:p w:rsidR="003B0FF7" w:rsidRDefault="003B0FF7" w:rsidP="003B0FF7">
      <w:pPr>
        <w:pStyle w:val="NoSpacing"/>
        <w:jc w:val="both"/>
        <w:rPr>
          <w:sz w:val="21"/>
          <w:szCs w:val="21"/>
        </w:rPr>
      </w:pPr>
    </w:p>
    <w:p w:rsidR="003B0FF7" w:rsidRDefault="003B0FF7" w:rsidP="003B0FF7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3. gr.</w:t>
      </w:r>
    </w:p>
    <w:p w:rsidR="003B0FF7" w:rsidRDefault="003B0FF7" w:rsidP="003B0F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3. gr. reglugerðarinnar:</w:t>
      </w:r>
    </w:p>
    <w:p w:rsidR="003B0FF7" w:rsidRDefault="003B0FF7" w:rsidP="003B0FF7">
      <w:pPr>
        <w:pStyle w:val="NoSpacing"/>
        <w:numPr>
          <w:ilvl w:val="0"/>
          <w:numId w:val="2"/>
        </w:num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3. mgr. orðast svo:</w:t>
      </w:r>
    </w:p>
    <w:p w:rsidR="003B0FF7" w:rsidRDefault="003B0FF7" w:rsidP="003B0F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3. Við skoðun á skipi, sem siglir undir fána ríkis sem er ekki aðili að samningi, skal Samgöngustofa tryggja að skip</w:t>
      </w:r>
      <w:r w:rsidR="002C3120">
        <w:rPr>
          <w:sz w:val="21"/>
          <w:szCs w:val="21"/>
        </w:rPr>
        <w:t>ið</w:t>
      </w:r>
      <w:r>
        <w:rPr>
          <w:sz w:val="21"/>
          <w:szCs w:val="21"/>
        </w:rPr>
        <w:t xml:space="preserve"> og áhöfn þess hljóti ekki hagstæðari meðferð en þá sem skip hlýtur sem siglir undir fána ríkis sem er aðili að þeim samningi. Slíkt skip skal sæta nákvæmari skoðun í samræmi við verklagsreglur sem eru settar með Parísarsamkomulaginu um hafnarríkiseftirlit. </w:t>
      </w:r>
    </w:p>
    <w:p w:rsidR="00CB7DED" w:rsidRDefault="007D581A" w:rsidP="00CB7DED">
      <w:pPr>
        <w:pStyle w:val="NoSpacing"/>
        <w:numPr>
          <w:ilvl w:val="0"/>
          <w:numId w:val="2"/>
        </w:num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Á eftir 4. mgr. </w:t>
      </w:r>
      <w:proofErr w:type="spellStart"/>
      <w:r>
        <w:rPr>
          <w:sz w:val="21"/>
          <w:szCs w:val="21"/>
        </w:rPr>
        <w:t>bætist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ný</w:t>
      </w:r>
      <w:proofErr w:type="spellEnd"/>
      <w:r>
        <w:rPr>
          <w:sz w:val="21"/>
          <w:szCs w:val="21"/>
        </w:rPr>
        <w:t xml:space="preserve"> málsgrein, svohljóðandi</w:t>
      </w:r>
      <w:r w:rsidR="00CB7DED">
        <w:rPr>
          <w:sz w:val="21"/>
          <w:szCs w:val="21"/>
        </w:rPr>
        <w:t>:</w:t>
      </w:r>
    </w:p>
    <w:p w:rsidR="00CB7DED" w:rsidRDefault="00CB7DED" w:rsidP="00CB7DED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Ef Samgöngustofa verður vör við </w:t>
      </w:r>
      <w:proofErr w:type="spellStart"/>
      <w:r>
        <w:rPr>
          <w:sz w:val="21"/>
          <w:szCs w:val="21"/>
        </w:rPr>
        <w:t>skýrt</w:t>
      </w:r>
      <w:proofErr w:type="spellEnd"/>
      <w:r>
        <w:rPr>
          <w:sz w:val="21"/>
          <w:szCs w:val="21"/>
        </w:rPr>
        <w:t xml:space="preserve"> brot á reglugerð þessari skal stofnunin þegar í stað tilkynna það öllum hlutaðeigandi lögbærum yfirvöldum til að unnt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að grípa til frekari aðgerða, eins og við á. </w:t>
      </w:r>
    </w:p>
    <w:p w:rsidR="00957AE7" w:rsidRDefault="00957AE7" w:rsidP="00957AE7">
      <w:pPr>
        <w:pStyle w:val="NoSpacing"/>
        <w:jc w:val="both"/>
        <w:rPr>
          <w:sz w:val="21"/>
          <w:szCs w:val="21"/>
        </w:rPr>
      </w:pPr>
    </w:p>
    <w:p w:rsidR="00957AE7" w:rsidRDefault="00957AE7" w:rsidP="00957AE7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4. gr.</w:t>
      </w:r>
    </w:p>
    <w:p w:rsidR="00957AE7" w:rsidRDefault="001F4113" w:rsidP="001F4113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Við 17. gr. reglugerðarinnar </w:t>
      </w:r>
      <w:proofErr w:type="spellStart"/>
      <w:r w:rsidR="007D581A">
        <w:rPr>
          <w:sz w:val="21"/>
          <w:szCs w:val="21"/>
        </w:rPr>
        <w:t>bætast</w:t>
      </w:r>
      <w:proofErr w:type="spellEnd"/>
      <w:r>
        <w:rPr>
          <w:sz w:val="21"/>
          <w:szCs w:val="21"/>
        </w:rPr>
        <w:t xml:space="preserve"> þrjár nýjar málsgreinar, svohljóðandi:</w:t>
      </w:r>
    </w:p>
    <w:p w:rsidR="001F4113" w:rsidRDefault="001F4113" w:rsidP="001F4113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 komist er að því, í kjölfar nákvæmrar skoðunar, að aðbúnaður og vinnuskilyrði um borð í skipum eru ekki í samræmi við kröfur samþykktar um vinnuskilyrði farmanna, skal skoðunarmaður þegar í stað vekja athygli skipstjóra skipsins á þessum annmörkum, ásamt tilskildum fresti til að ráða bót á þeim.</w:t>
      </w:r>
    </w:p>
    <w:p w:rsidR="001F4113" w:rsidRDefault="001F4113" w:rsidP="001F4113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Ef skoðunarmaður telur að annmarkar skv. 2. mgr. séu umtalsverðir eða að þeir tengist hugsanlegri kvörtun, skv. 19. lið </w:t>
      </w:r>
      <w:proofErr w:type="spellStart"/>
      <w:r>
        <w:rPr>
          <w:sz w:val="21"/>
          <w:szCs w:val="21"/>
        </w:rPr>
        <w:t>A-hluta</w:t>
      </w:r>
      <w:proofErr w:type="spellEnd"/>
      <w:r>
        <w:rPr>
          <w:sz w:val="21"/>
          <w:szCs w:val="21"/>
        </w:rPr>
        <w:t xml:space="preserve"> V. viðauka, skal skoðunarmaður einnig gera viðkomandi samtökum farmanna og skipaeigenda hér á landi viðvart um annmarkana og er heimilt að:</w:t>
      </w:r>
    </w:p>
    <w:p w:rsidR="001F4113" w:rsidRDefault="001F4113" w:rsidP="001F4113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1. tilkynna það fulltrúa fánaríkisins,</w:t>
      </w:r>
    </w:p>
    <w:p w:rsidR="001F4113" w:rsidRDefault="001F4113" w:rsidP="001F4113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2. veita lögbærum yfirvöldum í næstu viðkomuhöfn viðeigandi upplýsingar.</w:t>
      </w:r>
    </w:p>
    <w:p w:rsidR="001F4113" w:rsidRDefault="001F4113" w:rsidP="001F4113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Að því er varðar málefni, sem varða samþykkt um vinnuskilyrði farmanna, skal Samgöngustofa eiga rétt á að senda afrit af </w:t>
      </w:r>
      <w:proofErr w:type="spellStart"/>
      <w:r>
        <w:rPr>
          <w:sz w:val="21"/>
          <w:szCs w:val="21"/>
        </w:rPr>
        <w:t>skýrslu</w:t>
      </w:r>
      <w:proofErr w:type="spellEnd"/>
      <w:r>
        <w:rPr>
          <w:sz w:val="21"/>
          <w:szCs w:val="21"/>
        </w:rPr>
        <w:t xml:space="preserve"> skoðunarmannsins, en í henni eiga að fylgja öll svör sem kunna að hafa borist innan tilskilins frests frá lögbæru yfirvaldi fánaríkisins, til forstjóra Alþjóðavinnumálaskrifstofunnar með aðgerðir í huga, sem kunna að teljast viðeigandi og ráðlegar, til að tryggja að haldin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skrá yfir slíkar </w:t>
      </w:r>
      <w:r>
        <w:rPr>
          <w:sz w:val="21"/>
          <w:szCs w:val="21"/>
        </w:rPr>
        <w:lastRenderedPageBreak/>
        <w:t xml:space="preserve">upplýsingar og þeim komið á framfæri við aðila sem </w:t>
      </w:r>
      <w:proofErr w:type="spellStart"/>
      <w:r>
        <w:rPr>
          <w:sz w:val="21"/>
          <w:szCs w:val="21"/>
        </w:rPr>
        <w:t>kynnu</w:t>
      </w:r>
      <w:proofErr w:type="spellEnd"/>
      <w:r>
        <w:rPr>
          <w:sz w:val="21"/>
          <w:szCs w:val="21"/>
        </w:rPr>
        <w:t xml:space="preserve"> að hafa áhuga á að nýta sér viðeigandi málskotsúrræði.</w:t>
      </w:r>
    </w:p>
    <w:p w:rsidR="001F4113" w:rsidRDefault="001F4113" w:rsidP="001F4113">
      <w:pPr>
        <w:pStyle w:val="NoSpacing"/>
        <w:jc w:val="both"/>
        <w:rPr>
          <w:sz w:val="21"/>
          <w:szCs w:val="21"/>
        </w:rPr>
      </w:pPr>
    </w:p>
    <w:p w:rsidR="001F4113" w:rsidRDefault="002D1177" w:rsidP="002D1177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5. gr.</w:t>
      </w:r>
    </w:p>
    <w:p w:rsidR="002D1177" w:rsidRDefault="002D1177" w:rsidP="002D117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18. gr. reglugerðarinnar</w:t>
      </w:r>
      <w:r w:rsidR="007D581A">
        <w:rPr>
          <w:sz w:val="21"/>
          <w:szCs w:val="21"/>
        </w:rPr>
        <w:t xml:space="preserve"> ásamt fyrirsögn</w:t>
      </w:r>
      <w:r>
        <w:rPr>
          <w:sz w:val="21"/>
          <w:szCs w:val="21"/>
        </w:rPr>
        <w:t xml:space="preserve"> orðast svo:</w:t>
      </w:r>
    </w:p>
    <w:p w:rsidR="002D1177" w:rsidRPr="002D1177" w:rsidRDefault="002D1177" w:rsidP="002D1177">
      <w:pPr>
        <w:pStyle w:val="NoSpacing"/>
        <w:ind w:firstLine="284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Kvartanir.</w:t>
      </w:r>
    </w:p>
    <w:p w:rsidR="002D1177" w:rsidRDefault="00B7023F" w:rsidP="002D117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2D1177">
        <w:rPr>
          <w:sz w:val="21"/>
          <w:szCs w:val="21"/>
        </w:rPr>
        <w:t xml:space="preserve">Samgöngustofa skal senda allar kvartanir í frummat með hraði. Á grunni slíks mats skal ákveða hvort kvörtun </w:t>
      </w:r>
      <w:proofErr w:type="spellStart"/>
      <w:r w:rsidR="002D1177">
        <w:rPr>
          <w:sz w:val="21"/>
          <w:szCs w:val="21"/>
        </w:rPr>
        <w:t>sé</w:t>
      </w:r>
      <w:proofErr w:type="spellEnd"/>
      <w:r w:rsidR="002D1177">
        <w:rPr>
          <w:sz w:val="21"/>
          <w:szCs w:val="21"/>
        </w:rPr>
        <w:t xml:space="preserve"> réttlætanleg. </w:t>
      </w:r>
    </w:p>
    <w:p w:rsidR="002D1177" w:rsidRDefault="00B7023F" w:rsidP="002D117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="002D1177">
        <w:rPr>
          <w:sz w:val="21"/>
          <w:szCs w:val="21"/>
        </w:rPr>
        <w:t xml:space="preserve">Samgöngustofa grípur til nauðsynlegra aðgerða, í tengslum við kvörtun, reynist hún réttlætanleg og skal einkum tryggja að allir sem kvörtunina varðar með beinum hætti geti komið sjónarmiðum sínum að. </w:t>
      </w:r>
    </w:p>
    <w:p w:rsidR="002D1177" w:rsidRDefault="00B7023F" w:rsidP="002D117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="002D1177">
        <w:rPr>
          <w:sz w:val="21"/>
          <w:szCs w:val="21"/>
        </w:rPr>
        <w:t xml:space="preserve">Komist Samgöngustofa að þeirri niðurstöðu að kvörtun </w:t>
      </w:r>
      <w:proofErr w:type="spellStart"/>
      <w:r w:rsidR="002D1177">
        <w:rPr>
          <w:sz w:val="21"/>
          <w:szCs w:val="21"/>
        </w:rPr>
        <w:t>sé</w:t>
      </w:r>
      <w:proofErr w:type="spellEnd"/>
      <w:r w:rsidR="002D1177">
        <w:rPr>
          <w:sz w:val="21"/>
          <w:szCs w:val="21"/>
        </w:rPr>
        <w:t xml:space="preserve"> augljóslega tilefnislaus skal upplýsa kvartanda um ástæður hennar. </w:t>
      </w:r>
    </w:p>
    <w:p w:rsidR="002D1177" w:rsidRDefault="00B7023F" w:rsidP="002D117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proofErr w:type="spellStart"/>
      <w:r w:rsidR="002D1177">
        <w:rPr>
          <w:sz w:val="21"/>
          <w:szCs w:val="21"/>
        </w:rPr>
        <w:t>Óheimilt</w:t>
      </w:r>
      <w:proofErr w:type="spellEnd"/>
      <w:r w:rsidR="002D1177">
        <w:rPr>
          <w:sz w:val="21"/>
          <w:szCs w:val="21"/>
        </w:rPr>
        <w:t xml:space="preserve"> er að upplýsa skipstjóra eða eiganda skips um deili á kvartanda. Skoðunarmaður skal sjá til þess að trúnaðarleynd </w:t>
      </w:r>
      <w:proofErr w:type="spellStart"/>
      <w:r w:rsidR="002D1177">
        <w:rPr>
          <w:sz w:val="21"/>
          <w:szCs w:val="21"/>
        </w:rPr>
        <w:t>sé</w:t>
      </w:r>
      <w:proofErr w:type="spellEnd"/>
      <w:r w:rsidR="002D1177">
        <w:rPr>
          <w:sz w:val="21"/>
          <w:szCs w:val="21"/>
        </w:rPr>
        <w:t xml:space="preserve"> virt, ef viðtöl eru tekin við skipverja. </w:t>
      </w:r>
    </w:p>
    <w:p w:rsidR="00CB6FE8" w:rsidRDefault="00CB6FE8" w:rsidP="002D117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5. Samgöngustofa skal upplýsa yfirvöld í fánaríki skips um kvartanir sem eru ekki augljóslega tilefnislausar og um eftirfylgniaðgerðir sem gripið er til og senda afrit til Alþjóðavinnumálastofnunarinnar, ef við á.</w:t>
      </w:r>
    </w:p>
    <w:p w:rsidR="00B7023F" w:rsidRDefault="00B7023F" w:rsidP="00B7023F">
      <w:pPr>
        <w:pStyle w:val="NoSpacing"/>
        <w:jc w:val="both"/>
        <w:rPr>
          <w:sz w:val="21"/>
          <w:szCs w:val="21"/>
        </w:rPr>
      </w:pPr>
    </w:p>
    <w:p w:rsidR="00B7023F" w:rsidRDefault="00B7023F" w:rsidP="00B7023F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6. gr.</w:t>
      </w:r>
    </w:p>
    <w:p w:rsidR="00B7023F" w:rsidRDefault="00B7023F" w:rsidP="00B7023F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Á eftir 18. gr. reglugerðarinnar kemur </w:t>
      </w:r>
      <w:proofErr w:type="spellStart"/>
      <w:r>
        <w:rPr>
          <w:sz w:val="21"/>
          <w:szCs w:val="21"/>
        </w:rPr>
        <w:t>ný</w:t>
      </w:r>
      <w:proofErr w:type="spellEnd"/>
      <w:r>
        <w:rPr>
          <w:sz w:val="21"/>
          <w:szCs w:val="21"/>
        </w:rPr>
        <w:t xml:space="preserve"> grein, 18. gr. a,</w:t>
      </w:r>
      <w:r w:rsidR="007D581A">
        <w:rPr>
          <w:sz w:val="21"/>
          <w:szCs w:val="21"/>
        </w:rPr>
        <w:t xml:space="preserve"> ásamt fyrirsögn og orðast svo</w:t>
      </w:r>
      <w:r>
        <w:rPr>
          <w:sz w:val="21"/>
          <w:szCs w:val="21"/>
        </w:rPr>
        <w:t>:</w:t>
      </w:r>
    </w:p>
    <w:p w:rsidR="00B7023F" w:rsidRDefault="00B7023F" w:rsidP="00B7023F">
      <w:pPr>
        <w:pStyle w:val="NoSpacing"/>
        <w:ind w:firstLine="284"/>
        <w:jc w:val="center"/>
        <w:rPr>
          <w:sz w:val="21"/>
          <w:szCs w:val="21"/>
        </w:rPr>
      </w:pPr>
      <w:r>
        <w:rPr>
          <w:sz w:val="21"/>
          <w:szCs w:val="21"/>
        </w:rPr>
        <w:t>18. gr. a</w:t>
      </w:r>
    </w:p>
    <w:p w:rsidR="00B7023F" w:rsidRDefault="00B7023F" w:rsidP="00B7023F">
      <w:pPr>
        <w:pStyle w:val="NoSpacing"/>
        <w:ind w:firstLine="284"/>
        <w:jc w:val="center"/>
        <w:rPr>
          <w:sz w:val="21"/>
          <w:szCs w:val="21"/>
        </w:rPr>
      </w:pPr>
      <w:r>
        <w:rPr>
          <w:i/>
          <w:sz w:val="21"/>
          <w:szCs w:val="21"/>
        </w:rPr>
        <w:t>Málsmeðferð um kvörtun farmanns í landi</w:t>
      </w:r>
      <w:r w:rsidR="002C3120">
        <w:rPr>
          <w:i/>
          <w:sz w:val="21"/>
          <w:szCs w:val="21"/>
        </w:rPr>
        <w:t xml:space="preserve"> samkvæmt samþykkt um vinnuskilyrði farmanna</w:t>
      </w:r>
      <w:r>
        <w:rPr>
          <w:i/>
          <w:sz w:val="21"/>
          <w:szCs w:val="21"/>
        </w:rPr>
        <w:t>.</w:t>
      </w:r>
    </w:p>
    <w:p w:rsidR="00B7023F" w:rsidRDefault="00B7023F" w:rsidP="00B7023F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Heimilt er að tilkynna kvörtun farmanns til skoðunarmanns í þeirri höfn sem skip farmannsins á viðkomu, þar sem gefið er í skyn að brotið </w:t>
      </w:r>
      <w:proofErr w:type="spellStart"/>
      <w:r>
        <w:rPr>
          <w:sz w:val="21"/>
          <w:szCs w:val="21"/>
        </w:rPr>
        <w:t>sé</w:t>
      </w:r>
      <w:proofErr w:type="spellEnd"/>
      <w:r>
        <w:rPr>
          <w:sz w:val="21"/>
          <w:szCs w:val="21"/>
        </w:rPr>
        <w:t xml:space="preserve"> á kröfum samþykktar</w:t>
      </w:r>
      <w:r w:rsidR="00CB6FE8">
        <w:rPr>
          <w:sz w:val="21"/>
          <w:szCs w:val="21"/>
        </w:rPr>
        <w:t xml:space="preserve"> um vinnuskilyrði farmanna (þar með talið á réttindum farmanna)</w:t>
      </w:r>
      <w:r>
        <w:rPr>
          <w:sz w:val="21"/>
          <w:szCs w:val="21"/>
        </w:rPr>
        <w:t xml:space="preserve">. Í </w:t>
      </w:r>
      <w:proofErr w:type="spellStart"/>
      <w:r>
        <w:rPr>
          <w:sz w:val="21"/>
          <w:szCs w:val="21"/>
        </w:rPr>
        <w:t>slíkum</w:t>
      </w:r>
      <w:proofErr w:type="spellEnd"/>
      <w:r>
        <w:rPr>
          <w:sz w:val="21"/>
          <w:szCs w:val="21"/>
        </w:rPr>
        <w:t xml:space="preserve"> tilvikum skal skoðunarmaður standa fyrir frumrannsókn málsins. </w:t>
      </w:r>
    </w:p>
    <w:p w:rsidR="00B7023F" w:rsidRPr="00707553" w:rsidRDefault="00B7023F" w:rsidP="00B7023F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Frumrannsókn skal, eftir því sem við á með tilliti til kvörtunarinnar, fela í sér að athugað verði hvort málsmeðferð um kvörtun um borð, sem kveðið er á um í reglu 5.1.5 í samþykkt um vinnuskilyrði farmanna, hafi verið fylgt eftir. Skoðunarmanni er einnig heimilt að framkvæma nákvæmari skoðun í samræmi við </w:t>
      </w:r>
      <w:r w:rsidRPr="00707553">
        <w:rPr>
          <w:sz w:val="21"/>
          <w:szCs w:val="21"/>
        </w:rPr>
        <w:t xml:space="preserve">13. gr. þessarar reglugerðar. </w:t>
      </w:r>
    </w:p>
    <w:p w:rsidR="00B7023F" w:rsidRPr="00707553" w:rsidRDefault="00B7023F" w:rsidP="00B7023F">
      <w:pPr>
        <w:pStyle w:val="NoSpacing"/>
        <w:ind w:firstLine="284"/>
        <w:jc w:val="both"/>
        <w:rPr>
          <w:sz w:val="21"/>
          <w:szCs w:val="21"/>
        </w:rPr>
      </w:pPr>
      <w:r w:rsidRPr="00707553">
        <w:rPr>
          <w:sz w:val="21"/>
          <w:szCs w:val="21"/>
        </w:rPr>
        <w:t xml:space="preserve">3. Skoðunarmaður skal, eftir því sem við á, leitast við að fundin verði lausn á kvörtun um borð í skipinu. </w:t>
      </w:r>
    </w:p>
    <w:p w:rsidR="00B7023F" w:rsidRPr="00707553" w:rsidRDefault="00B7023F" w:rsidP="00B7023F">
      <w:pPr>
        <w:pStyle w:val="NoSpacing"/>
        <w:ind w:firstLine="284"/>
        <w:jc w:val="both"/>
        <w:rPr>
          <w:sz w:val="21"/>
          <w:szCs w:val="21"/>
        </w:rPr>
      </w:pPr>
      <w:r w:rsidRPr="00707553">
        <w:rPr>
          <w:sz w:val="21"/>
          <w:szCs w:val="21"/>
        </w:rPr>
        <w:t>4. Þegar rannsóknin eða skoðunin leiðir í ljós frávik, sem fellur undir gildissvið 19. gr., skal farið eftir ákvæðum þeirrar greinar.</w:t>
      </w:r>
    </w:p>
    <w:p w:rsidR="00B7023F" w:rsidRPr="00707553" w:rsidRDefault="00B7023F" w:rsidP="00B7023F">
      <w:pPr>
        <w:pStyle w:val="NoSpacing"/>
        <w:ind w:firstLine="284"/>
        <w:jc w:val="both"/>
        <w:rPr>
          <w:sz w:val="21"/>
          <w:szCs w:val="21"/>
        </w:rPr>
      </w:pPr>
      <w:r w:rsidRPr="00707553">
        <w:rPr>
          <w:sz w:val="21"/>
          <w:szCs w:val="21"/>
        </w:rPr>
        <w:t xml:space="preserve">5. Ef ákvæði 4. mgr. þessara greinar á ekki við og ef ekki hefur verið fundin lausn á kvörtun farmanns um borð í skipinu, í tengslum við mál sem falla undir samþykkt um vinnuskilyrði farmanna skal skoðunarmaður þegar í stað tilkynna fánaríkinu um það, leita ráða, innan tilskilins frests, og fara fram á að fánaríkið leggi fram áætlun um aðgerðir til </w:t>
      </w:r>
      <w:proofErr w:type="spellStart"/>
      <w:r w:rsidRPr="00707553">
        <w:rPr>
          <w:sz w:val="21"/>
          <w:szCs w:val="21"/>
        </w:rPr>
        <w:t>úrbóta</w:t>
      </w:r>
      <w:proofErr w:type="spellEnd"/>
      <w:r w:rsidRPr="00707553">
        <w:rPr>
          <w:sz w:val="21"/>
          <w:szCs w:val="21"/>
        </w:rPr>
        <w:t xml:space="preserve">. Senda skal </w:t>
      </w:r>
      <w:proofErr w:type="spellStart"/>
      <w:r w:rsidRPr="00707553">
        <w:rPr>
          <w:sz w:val="21"/>
          <w:szCs w:val="21"/>
        </w:rPr>
        <w:t>skýrslu</w:t>
      </w:r>
      <w:proofErr w:type="spellEnd"/>
      <w:r w:rsidRPr="00707553">
        <w:rPr>
          <w:sz w:val="21"/>
          <w:szCs w:val="21"/>
        </w:rPr>
        <w:t xml:space="preserve"> á rafrænu formi um allar skoðanir, sem hafa verið framkvæmdar, til skoðunargagnagrunnsins sem um getur í 24. gr. </w:t>
      </w:r>
    </w:p>
    <w:p w:rsidR="004E7D30" w:rsidRPr="00707553" w:rsidRDefault="004E7D30" w:rsidP="00B7023F">
      <w:pPr>
        <w:pStyle w:val="NoSpacing"/>
        <w:ind w:firstLine="284"/>
        <w:jc w:val="both"/>
        <w:rPr>
          <w:sz w:val="21"/>
          <w:szCs w:val="21"/>
        </w:rPr>
      </w:pPr>
      <w:r w:rsidRPr="00707553">
        <w:rPr>
          <w:sz w:val="21"/>
          <w:szCs w:val="21"/>
        </w:rPr>
        <w:t xml:space="preserve">6. Ef ekki finnst lausn á kvörtuninni, í kjölfar aðgerða sem gripið hefur verið til skv. 5. mgr., skal Samgöngustofa senda afrit af </w:t>
      </w:r>
      <w:proofErr w:type="spellStart"/>
      <w:r w:rsidRPr="00707553">
        <w:rPr>
          <w:sz w:val="21"/>
          <w:szCs w:val="21"/>
        </w:rPr>
        <w:t>skýrslu</w:t>
      </w:r>
      <w:proofErr w:type="spellEnd"/>
      <w:r w:rsidRPr="00707553">
        <w:rPr>
          <w:sz w:val="21"/>
          <w:szCs w:val="21"/>
        </w:rPr>
        <w:t xml:space="preserve"> skoðunarmannsins til forstjóra Alþjóðavinnumálastofnunarinnar (ILO). </w:t>
      </w:r>
      <w:proofErr w:type="spellStart"/>
      <w:r w:rsidRPr="00707553">
        <w:rPr>
          <w:sz w:val="21"/>
          <w:szCs w:val="21"/>
        </w:rPr>
        <w:t>Skýrslunni</w:t>
      </w:r>
      <w:proofErr w:type="spellEnd"/>
      <w:r w:rsidRPr="00707553">
        <w:rPr>
          <w:sz w:val="21"/>
          <w:szCs w:val="21"/>
        </w:rPr>
        <w:t xml:space="preserve"> skulu fylgja öll svör sem berast innan tilskilda frestsins frá lögbæru yfirvaldi fánaríkisins. Viðkomandi samtök farmanna og skipaeigenda í hafnarríkinu skulu upplýst með svipuðum hætti. Auk þess skal hafnarríkið reglulega senda forstjóra Alþjóðavinnumálastofnunarinnar hagskýrslur og upplýsingar um kvartanir þar sem lausn hefur fundist. </w:t>
      </w:r>
    </w:p>
    <w:p w:rsidR="004E7D30" w:rsidRPr="004E7D30" w:rsidRDefault="004E7D30" w:rsidP="004E7D30">
      <w:pPr>
        <w:pStyle w:val="NoSpacing"/>
        <w:ind w:firstLine="284"/>
        <w:jc w:val="both"/>
        <w:rPr>
          <w:sz w:val="21"/>
          <w:szCs w:val="21"/>
        </w:rPr>
      </w:pPr>
      <w:r w:rsidRPr="00707553">
        <w:rPr>
          <w:sz w:val="21"/>
          <w:szCs w:val="21"/>
        </w:rPr>
        <w:t>Þessi gögn skulu lögð fram til að tryggja að á grunni slíkra aðgerða, sem kunna að teljast viðeigandi og</w:t>
      </w:r>
      <w:r w:rsidRPr="004E7D30">
        <w:rPr>
          <w:sz w:val="21"/>
          <w:szCs w:val="21"/>
        </w:rPr>
        <w:t xml:space="preserve"> ráðlegar, </w:t>
      </w:r>
      <w:proofErr w:type="spellStart"/>
      <w:r w:rsidRPr="004E7D30">
        <w:rPr>
          <w:sz w:val="21"/>
          <w:szCs w:val="21"/>
        </w:rPr>
        <w:t>sé</w:t>
      </w:r>
      <w:proofErr w:type="spellEnd"/>
      <w:r w:rsidRPr="004E7D30">
        <w:rPr>
          <w:sz w:val="21"/>
          <w:szCs w:val="21"/>
        </w:rPr>
        <w:t xml:space="preserve"> haldin skrá yfir slíkar upplýsingar og henni komið á framfæri við aðila, </w:t>
      </w:r>
      <w:proofErr w:type="spellStart"/>
      <w:r w:rsidRPr="004E7D30">
        <w:rPr>
          <w:sz w:val="21"/>
          <w:szCs w:val="21"/>
        </w:rPr>
        <w:t>þ.m.t</w:t>
      </w:r>
      <w:proofErr w:type="spellEnd"/>
      <w:r w:rsidRPr="004E7D30">
        <w:rPr>
          <w:sz w:val="21"/>
          <w:szCs w:val="21"/>
        </w:rPr>
        <w:t xml:space="preserve">. samtök farmanna og skipaeigenda, sem </w:t>
      </w:r>
      <w:proofErr w:type="spellStart"/>
      <w:r w:rsidRPr="004E7D30">
        <w:rPr>
          <w:sz w:val="21"/>
          <w:szCs w:val="21"/>
        </w:rPr>
        <w:t>kynnu</w:t>
      </w:r>
      <w:proofErr w:type="spellEnd"/>
      <w:r w:rsidRPr="004E7D30">
        <w:rPr>
          <w:sz w:val="21"/>
          <w:szCs w:val="21"/>
        </w:rPr>
        <w:t xml:space="preserve"> að hafa áhuga á að nýta sér viðeigandi málskotsúrræði.</w:t>
      </w:r>
    </w:p>
    <w:p w:rsidR="004E7D30" w:rsidRPr="004E7D30" w:rsidRDefault="00CB6FE8" w:rsidP="004E7D30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4E7D30" w:rsidRPr="004E7D30">
        <w:rPr>
          <w:sz w:val="21"/>
          <w:szCs w:val="21"/>
        </w:rPr>
        <w:t>. Ákvæði þessarar greinar gilda með fyrirvara um 18. gr. Fjórða málsgrein 18. gr. gildir einnig um kvartanir sem tengjast málefnum sem falla undir samþykkt um vinnuskilyrði farmanna.</w:t>
      </w:r>
    </w:p>
    <w:p w:rsidR="004E7D30" w:rsidRDefault="004E7D30" w:rsidP="004E7D30">
      <w:pPr>
        <w:pStyle w:val="NoSpacing"/>
        <w:jc w:val="both"/>
        <w:rPr>
          <w:sz w:val="21"/>
          <w:szCs w:val="21"/>
        </w:rPr>
      </w:pPr>
    </w:p>
    <w:p w:rsidR="004E7D30" w:rsidRDefault="004E7D30" w:rsidP="004E7D30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7. gr.</w:t>
      </w:r>
    </w:p>
    <w:p w:rsidR="004E7D30" w:rsidRDefault="004E7D30" w:rsidP="004E7D30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19. gr. reglugerðarinnar:</w:t>
      </w:r>
    </w:p>
    <w:p w:rsidR="004E7D30" w:rsidRDefault="004E7D30" w:rsidP="004E7D30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</w:t>
      </w:r>
      <w:r w:rsidR="009A77F7">
        <w:rPr>
          <w:sz w:val="21"/>
          <w:szCs w:val="21"/>
        </w:rPr>
        <w:t xml:space="preserve">Á eftir 2. mgr. kemur </w:t>
      </w:r>
      <w:proofErr w:type="spellStart"/>
      <w:r w:rsidR="009A77F7">
        <w:rPr>
          <w:sz w:val="21"/>
          <w:szCs w:val="21"/>
        </w:rPr>
        <w:t>ný</w:t>
      </w:r>
      <w:proofErr w:type="spellEnd"/>
      <w:r w:rsidR="009A77F7">
        <w:rPr>
          <w:sz w:val="21"/>
          <w:szCs w:val="21"/>
        </w:rPr>
        <w:t xml:space="preserve"> málsgrein, svohljóðandi:</w:t>
      </w:r>
    </w:p>
    <w:p w:rsidR="009A77F7" w:rsidRPr="009A77F7" w:rsidRDefault="009A77F7" w:rsidP="009A77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2.a Ef um er að ræða </w:t>
      </w:r>
      <w:r w:rsidRPr="009A77F7">
        <w:rPr>
          <w:sz w:val="21"/>
          <w:szCs w:val="21"/>
        </w:rPr>
        <w:t>aðbúnað og vinnuskilyrði um borð, sem augljóslega stofna öryggi, heilbrigði eða vernd farmanna í hættu, eða annmarka sem fela í sér alvarleg eða endurtekin brot á kröfum samþykktar um vinnuskilyrði farmanna  (</w:t>
      </w:r>
      <w:proofErr w:type="spellStart"/>
      <w:r w:rsidRPr="009A77F7">
        <w:rPr>
          <w:sz w:val="21"/>
          <w:szCs w:val="21"/>
        </w:rPr>
        <w:t>þ.m.t</w:t>
      </w:r>
      <w:proofErr w:type="spellEnd"/>
      <w:r w:rsidRPr="009A77F7">
        <w:rPr>
          <w:sz w:val="21"/>
          <w:szCs w:val="21"/>
        </w:rPr>
        <w:t xml:space="preserve">. á réttindum farmanna), skal Samgöngustofa tryggja að farbann </w:t>
      </w:r>
      <w:proofErr w:type="spellStart"/>
      <w:r w:rsidRPr="009A77F7">
        <w:rPr>
          <w:sz w:val="21"/>
          <w:szCs w:val="21"/>
        </w:rPr>
        <w:t>sé</w:t>
      </w:r>
      <w:proofErr w:type="spellEnd"/>
      <w:r w:rsidRPr="009A77F7">
        <w:rPr>
          <w:sz w:val="21"/>
          <w:szCs w:val="21"/>
        </w:rPr>
        <w:t xml:space="preserve"> lagt á skipið eða að starfsemi, sem innt var að hendi þegar annmarkarnir uppgötvuðust, verði stöðvuð.</w:t>
      </w:r>
    </w:p>
    <w:p w:rsidR="009A77F7" w:rsidRPr="009A77F7" w:rsidRDefault="009A77F7" w:rsidP="009A77F7">
      <w:pPr>
        <w:pStyle w:val="NoSpacing"/>
        <w:ind w:firstLine="284"/>
        <w:jc w:val="both"/>
        <w:rPr>
          <w:sz w:val="21"/>
          <w:szCs w:val="21"/>
        </w:rPr>
      </w:pPr>
      <w:r w:rsidRPr="009A77F7">
        <w:rPr>
          <w:sz w:val="21"/>
          <w:szCs w:val="21"/>
        </w:rPr>
        <w:lastRenderedPageBreak/>
        <w:t xml:space="preserve">Úrskurði um farbann eða stöðvun starfsemi skal ekki aflétt fyrr en </w:t>
      </w:r>
      <w:proofErr w:type="spellStart"/>
      <w:r w:rsidRPr="009A77F7">
        <w:rPr>
          <w:sz w:val="21"/>
          <w:szCs w:val="21"/>
        </w:rPr>
        <w:t>ráðin</w:t>
      </w:r>
      <w:proofErr w:type="spellEnd"/>
      <w:r w:rsidRPr="009A77F7">
        <w:rPr>
          <w:sz w:val="21"/>
          <w:szCs w:val="21"/>
        </w:rPr>
        <w:t xml:space="preserve"> hefur verið bót á þessum annmörkum eða Samgöngustofa hefur samþykkt aðgerðaáætlun um að ráða bót á þessum annmörkum og hefur fullvissað sig um að áætlunin verði framkvæmd með skjótum hætti. Áður en skoðunarmaður samþykkir aðgerðaáætlun getur hann haft samráð við fánaríkið.</w:t>
      </w:r>
    </w:p>
    <w:p w:rsidR="009A77F7" w:rsidRDefault="009A77F7" w:rsidP="009A77F7">
      <w:pPr>
        <w:pStyle w:val="NoSpacing"/>
        <w:jc w:val="both"/>
        <w:rPr>
          <w:sz w:val="21"/>
          <w:szCs w:val="21"/>
        </w:rPr>
      </w:pPr>
    </w:p>
    <w:p w:rsidR="009A77F7" w:rsidRDefault="009A77F7" w:rsidP="009A77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b) 6. mgr. orðast svo:</w:t>
      </w:r>
    </w:p>
    <w:p w:rsidR="009A77F7" w:rsidRPr="009A77F7" w:rsidRDefault="009A77F7" w:rsidP="009A77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 w:rsidRPr="009A77F7">
        <w:rPr>
          <w:sz w:val="21"/>
          <w:szCs w:val="21"/>
        </w:rPr>
        <w:t xml:space="preserve">Ef farbann er lagt á skip skal Samgöngustofa þegar í stað tilkynna það skriflega, og láta fylgja </w:t>
      </w:r>
      <w:proofErr w:type="spellStart"/>
      <w:r w:rsidRPr="009A77F7">
        <w:rPr>
          <w:sz w:val="21"/>
          <w:szCs w:val="21"/>
        </w:rPr>
        <w:t>skýrslu</w:t>
      </w:r>
      <w:proofErr w:type="spellEnd"/>
      <w:r w:rsidRPr="009A77F7">
        <w:rPr>
          <w:sz w:val="21"/>
          <w:szCs w:val="21"/>
        </w:rPr>
        <w:t xml:space="preserve"> um skoðunina, til stjórnvalds fánaríkis eða, þegar það er ekki hægt, til ræðismanns eða, í fjarveru hans, til næsta sendifulltrúa þessa ríkis, um </w:t>
      </w:r>
      <w:proofErr w:type="spellStart"/>
      <w:r w:rsidRPr="009A77F7">
        <w:rPr>
          <w:sz w:val="21"/>
          <w:szCs w:val="21"/>
        </w:rPr>
        <w:t>þær</w:t>
      </w:r>
      <w:proofErr w:type="spellEnd"/>
      <w:r w:rsidRPr="009A77F7">
        <w:rPr>
          <w:sz w:val="21"/>
          <w:szCs w:val="21"/>
        </w:rPr>
        <w:t xml:space="preserve"> ástæður sem ollu því að íhlutun var talin nauðsynleg. Auk þess skal, þegar það á við, einnig tilkynna um tilnefnda skoðunarmenn eða viðurkenndar stofnanir sem bera ábyrgð á útgáfu flokkunarskírteina eða </w:t>
      </w:r>
      <w:proofErr w:type="spellStart"/>
      <w:r w:rsidRPr="009A77F7">
        <w:rPr>
          <w:sz w:val="21"/>
          <w:szCs w:val="21"/>
        </w:rPr>
        <w:t>lögboðinna</w:t>
      </w:r>
      <w:proofErr w:type="spellEnd"/>
      <w:r w:rsidRPr="009A77F7">
        <w:rPr>
          <w:sz w:val="21"/>
          <w:szCs w:val="21"/>
        </w:rPr>
        <w:t xml:space="preserve"> skírteina í samræmi við samninga. Enn fremur, ef komið er í veg fyrir að skip sigli sökum alvarlegra eða endurtekinna brota á kröfum samþykktar um vinnuskilyrði farmanna  (</w:t>
      </w:r>
      <w:proofErr w:type="spellStart"/>
      <w:r w:rsidRPr="009A77F7">
        <w:rPr>
          <w:sz w:val="21"/>
          <w:szCs w:val="21"/>
        </w:rPr>
        <w:t>þ.m.t</w:t>
      </w:r>
      <w:proofErr w:type="spellEnd"/>
      <w:r w:rsidRPr="009A77F7">
        <w:rPr>
          <w:sz w:val="21"/>
          <w:szCs w:val="21"/>
        </w:rPr>
        <w:t xml:space="preserve">. á réttindum farmanna) eða sökum þess að aðbúnaður og vinnuskilyrði um borð stofna augljóslega öryggi, heilbrigði eða vernd farmanna í hættu, skal Samgöngustofa tafarlaust tilkynna fánaríkinu um það og bjóða fulltrúa fánaríkisins að vera viðstaddur, ef unnt er, með ósk um að fánaríkið svari innan tilskilins frests. Samgöngustofa skal einnig þegar í stað upplýsa viðkomandi samtök farmanna og skipaeigenda í hafnarríkinu þar sem skoðunin </w:t>
      </w:r>
      <w:proofErr w:type="spellStart"/>
      <w:r w:rsidRPr="009A77F7">
        <w:rPr>
          <w:sz w:val="21"/>
          <w:szCs w:val="21"/>
        </w:rPr>
        <w:t>fór</w:t>
      </w:r>
      <w:proofErr w:type="spellEnd"/>
      <w:r w:rsidRPr="009A77F7">
        <w:rPr>
          <w:sz w:val="21"/>
          <w:szCs w:val="21"/>
        </w:rPr>
        <w:t xml:space="preserve"> fram.</w:t>
      </w:r>
    </w:p>
    <w:p w:rsidR="009A77F7" w:rsidRDefault="009A77F7" w:rsidP="009A77F7">
      <w:pPr>
        <w:pStyle w:val="NoSpacing"/>
        <w:jc w:val="both"/>
        <w:rPr>
          <w:sz w:val="21"/>
          <w:szCs w:val="21"/>
        </w:rPr>
      </w:pPr>
    </w:p>
    <w:p w:rsidR="009A77F7" w:rsidRDefault="009A77F7" w:rsidP="009A77F7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8. gr.</w:t>
      </w:r>
    </w:p>
    <w:p w:rsidR="009A77F7" w:rsidRDefault="009A77F7" w:rsidP="009A77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2. mgr. 27. gr. reglugerðarinnar orðast svo:</w:t>
      </w:r>
    </w:p>
    <w:p w:rsidR="009A77F7" w:rsidRDefault="009A77F7" w:rsidP="009A77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Framkvæmdastjórn ESB ákveður fyrirkomulag um birtingu upplýsinganna sem um getur í 1. mgr.</w:t>
      </w:r>
    </w:p>
    <w:p w:rsidR="009A77F7" w:rsidRDefault="009A77F7" w:rsidP="009A77F7">
      <w:pPr>
        <w:pStyle w:val="NoSpacing"/>
        <w:jc w:val="both"/>
        <w:rPr>
          <w:sz w:val="21"/>
          <w:szCs w:val="21"/>
        </w:rPr>
      </w:pPr>
    </w:p>
    <w:p w:rsidR="009A77F7" w:rsidRDefault="009A77F7" w:rsidP="009A77F7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9. gr.</w:t>
      </w:r>
    </w:p>
    <w:p w:rsidR="009A77F7" w:rsidRDefault="00D505B1" w:rsidP="009A77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lið 2B í II. hluta I. viðauka við reglugerðina:</w:t>
      </w:r>
    </w:p>
    <w:p w:rsidR="00D505B1" w:rsidRDefault="00D505B1" w:rsidP="009A77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a) Fimmti undirliður orðast svo:</w:t>
      </w:r>
    </w:p>
    <w:p w:rsidR="00D505B1" w:rsidRP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skip, </w:t>
      </w:r>
      <w:r w:rsidRPr="00D505B1">
        <w:rPr>
          <w:sz w:val="21"/>
          <w:szCs w:val="21"/>
        </w:rPr>
        <w:t xml:space="preserve">þar sem </w:t>
      </w:r>
      <w:proofErr w:type="spellStart"/>
      <w:r w:rsidRPr="00D505B1">
        <w:rPr>
          <w:sz w:val="21"/>
          <w:szCs w:val="21"/>
        </w:rPr>
        <w:t>skýrsla</w:t>
      </w:r>
      <w:proofErr w:type="spellEnd"/>
      <w:r w:rsidRPr="00D505B1">
        <w:rPr>
          <w:sz w:val="21"/>
          <w:szCs w:val="21"/>
        </w:rPr>
        <w:t xml:space="preserve"> eða kvörtun, </w:t>
      </w:r>
      <w:proofErr w:type="spellStart"/>
      <w:r w:rsidRPr="00D505B1">
        <w:rPr>
          <w:sz w:val="21"/>
          <w:szCs w:val="21"/>
        </w:rPr>
        <w:t>þ.m.t</w:t>
      </w:r>
      <w:proofErr w:type="spellEnd"/>
      <w:r w:rsidRPr="00D505B1">
        <w:rPr>
          <w:sz w:val="21"/>
          <w:szCs w:val="21"/>
        </w:rPr>
        <w:t xml:space="preserve">. kvörtun í landi, hefur borist frá skipstjóra, skipverja eða einstaklingi eða stofnun, sem á réttmætra hagsmuna að gæta varðandi örugga starfsemi skips, aðbúnað og vinnuskilyrði um borð eða mengunarvarnir, nema Samgöngustofa telji slíka </w:t>
      </w:r>
      <w:proofErr w:type="spellStart"/>
      <w:r w:rsidRPr="00D505B1">
        <w:rPr>
          <w:sz w:val="21"/>
          <w:szCs w:val="21"/>
        </w:rPr>
        <w:t>skýrslu</w:t>
      </w:r>
      <w:proofErr w:type="spellEnd"/>
      <w:r w:rsidRPr="00D505B1">
        <w:rPr>
          <w:sz w:val="21"/>
          <w:szCs w:val="21"/>
        </w:rPr>
        <w:t xml:space="preserve"> eða kvörtun augljóslega ekki á rökum reista.</w:t>
      </w:r>
    </w:p>
    <w:p w:rsidR="00D505B1" w:rsidRDefault="00D505B1" w:rsidP="009A77F7">
      <w:pPr>
        <w:pStyle w:val="NoSpacing"/>
        <w:ind w:firstLine="284"/>
        <w:jc w:val="both"/>
        <w:rPr>
          <w:sz w:val="21"/>
          <w:szCs w:val="21"/>
        </w:rPr>
      </w:pPr>
    </w:p>
    <w:p w:rsidR="00D505B1" w:rsidRDefault="00D505B1" w:rsidP="009A77F7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Nýr undirliður </w:t>
      </w:r>
      <w:proofErr w:type="spellStart"/>
      <w:r>
        <w:rPr>
          <w:sz w:val="21"/>
          <w:szCs w:val="21"/>
        </w:rPr>
        <w:t>bætist</w:t>
      </w:r>
      <w:proofErr w:type="spellEnd"/>
      <w:r>
        <w:rPr>
          <w:sz w:val="21"/>
          <w:szCs w:val="21"/>
        </w:rPr>
        <w:t xml:space="preserve"> við:</w:t>
      </w:r>
    </w:p>
    <w:p w:rsidR="00D505B1" w:rsidRP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skip, </w:t>
      </w:r>
      <w:r w:rsidRPr="00D505B1">
        <w:rPr>
          <w:sz w:val="21"/>
          <w:szCs w:val="21"/>
        </w:rPr>
        <w:t>þar sem samþykkt hefur verið aðgerðaáætlun, til að ráða bóta á annmörkum, eins og um getur í 2. mgr. a í 19. gr., en þar sem skoðunarmaður hefur ekki haft eftirlit með framkvæmd áætlunarinnar.</w:t>
      </w:r>
    </w:p>
    <w:p w:rsidR="00D505B1" w:rsidRDefault="00D505B1" w:rsidP="00D505B1">
      <w:pPr>
        <w:pStyle w:val="NoSpacing"/>
        <w:jc w:val="both"/>
        <w:rPr>
          <w:sz w:val="21"/>
          <w:szCs w:val="21"/>
        </w:rPr>
      </w:pPr>
    </w:p>
    <w:p w:rsidR="00D505B1" w:rsidRDefault="00D505B1" w:rsidP="00D505B1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10. gr.</w:t>
      </w:r>
    </w:p>
    <w:p w:rsid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IV. viðauka:</w:t>
      </w:r>
    </w:p>
    <w:p w:rsid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a) 14., 15. og 16. töluliðir orðast svo:</w:t>
      </w:r>
    </w:p>
    <w:p w:rsid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14. Læknisvottorð (sjá samþykkt um vinnuskilyrði farmanna frá 2006).</w:t>
      </w:r>
    </w:p>
    <w:p w:rsid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15. Tafla með upplýsingum um vinnutilhögun um borð í skipum (sjá samþykkt um vinnuskilyrði farmanna frá 2006 og </w:t>
      </w:r>
      <w:proofErr w:type="spellStart"/>
      <w:r>
        <w:rPr>
          <w:sz w:val="21"/>
          <w:szCs w:val="21"/>
        </w:rPr>
        <w:t>STCW-samþykkt</w:t>
      </w:r>
      <w:proofErr w:type="spellEnd"/>
      <w:r>
        <w:rPr>
          <w:sz w:val="21"/>
          <w:szCs w:val="21"/>
        </w:rPr>
        <w:t xml:space="preserve"> frá ´78/95).</w:t>
      </w:r>
    </w:p>
    <w:p w:rsid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16. Skrár yfir vinnu- og hvíldartíma farmanna (sjá samþykkt um vinnuskilyrði farmanna 2006).</w:t>
      </w:r>
    </w:p>
    <w:p w:rsidR="00D505B1" w:rsidRDefault="00D505B1" w:rsidP="00D505B1">
      <w:pPr>
        <w:pStyle w:val="NoSpacing"/>
        <w:jc w:val="both"/>
        <w:rPr>
          <w:sz w:val="21"/>
          <w:szCs w:val="21"/>
        </w:rPr>
      </w:pPr>
    </w:p>
    <w:p w:rsid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Eftirfarandi töluliður </w:t>
      </w:r>
      <w:proofErr w:type="spellStart"/>
      <w:r>
        <w:rPr>
          <w:sz w:val="21"/>
          <w:szCs w:val="21"/>
        </w:rPr>
        <w:t>bætast</w:t>
      </w:r>
      <w:proofErr w:type="spellEnd"/>
      <w:r>
        <w:rPr>
          <w:sz w:val="21"/>
          <w:szCs w:val="21"/>
        </w:rPr>
        <w:t xml:space="preserve"> við:</w:t>
      </w:r>
    </w:p>
    <w:p w:rsidR="00D505B1" w:rsidRP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 w:rsidRPr="00D505B1">
        <w:rPr>
          <w:sz w:val="21"/>
          <w:szCs w:val="21"/>
        </w:rPr>
        <w:t>45. Skírte</w:t>
      </w:r>
      <w:r>
        <w:rPr>
          <w:sz w:val="21"/>
          <w:szCs w:val="21"/>
        </w:rPr>
        <w:t xml:space="preserve">ini um vinnuskilyrði farmanna. </w:t>
      </w:r>
    </w:p>
    <w:p w:rsidR="00D505B1" w:rsidRP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 w:rsidRPr="00D505B1">
        <w:rPr>
          <w:sz w:val="21"/>
          <w:szCs w:val="21"/>
        </w:rPr>
        <w:t>46. Yfirlýsing um samræmi við reglur um vinnuskily</w:t>
      </w:r>
      <w:r>
        <w:rPr>
          <w:sz w:val="21"/>
          <w:szCs w:val="21"/>
        </w:rPr>
        <w:t xml:space="preserve">rði farmanna, I. og II. hluti. </w:t>
      </w:r>
    </w:p>
    <w:p w:rsid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 w:rsidRPr="00D505B1">
        <w:rPr>
          <w:sz w:val="21"/>
          <w:szCs w:val="21"/>
        </w:rPr>
        <w:t xml:space="preserve">47. Alþjóðlegt skírteini fyrir </w:t>
      </w:r>
      <w:proofErr w:type="spellStart"/>
      <w:r w:rsidRPr="00D505B1">
        <w:rPr>
          <w:sz w:val="21"/>
          <w:szCs w:val="21"/>
        </w:rPr>
        <w:t>gróð</w:t>
      </w:r>
      <w:r>
        <w:rPr>
          <w:sz w:val="21"/>
          <w:szCs w:val="21"/>
        </w:rPr>
        <w:t>urhindrandi</w:t>
      </w:r>
      <w:proofErr w:type="spellEnd"/>
      <w:r>
        <w:rPr>
          <w:sz w:val="21"/>
          <w:szCs w:val="21"/>
        </w:rPr>
        <w:t xml:space="preserve"> efni og/eða búnað. </w:t>
      </w:r>
    </w:p>
    <w:p w:rsidR="00D505B1" w:rsidRDefault="00D505B1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48. Tryggingarskírteini eða einhver önnur fjárhagsleg trygging gegn skaðabótaábyrgð vegna tjóns af völdum mengunar sem stafar frá eldsneytisolíu skipa.</w:t>
      </w:r>
    </w:p>
    <w:p w:rsidR="00D505B1" w:rsidRDefault="00D505B1" w:rsidP="00D505B1">
      <w:pPr>
        <w:pStyle w:val="NoSpacing"/>
        <w:jc w:val="both"/>
        <w:rPr>
          <w:sz w:val="21"/>
          <w:szCs w:val="21"/>
        </w:rPr>
      </w:pPr>
    </w:p>
    <w:p w:rsidR="00D505B1" w:rsidRDefault="00D505B1" w:rsidP="00D505B1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11. gr.</w:t>
      </w:r>
    </w:p>
    <w:p w:rsidR="00D505B1" w:rsidRDefault="00804FA6" w:rsidP="00D505B1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Eftirfarandi töluliðir </w:t>
      </w:r>
      <w:proofErr w:type="spellStart"/>
      <w:r>
        <w:rPr>
          <w:sz w:val="21"/>
          <w:szCs w:val="21"/>
        </w:rPr>
        <w:t>bætast</w:t>
      </w:r>
      <w:proofErr w:type="spellEnd"/>
      <w:r>
        <w:rPr>
          <w:sz w:val="21"/>
          <w:szCs w:val="21"/>
        </w:rPr>
        <w:t xml:space="preserve"> við upptalningu í </w:t>
      </w:r>
      <w:proofErr w:type="spellStart"/>
      <w:r>
        <w:rPr>
          <w:sz w:val="21"/>
          <w:szCs w:val="21"/>
        </w:rPr>
        <w:t>A-hluta</w:t>
      </w:r>
      <w:proofErr w:type="spellEnd"/>
      <w:r>
        <w:rPr>
          <w:sz w:val="21"/>
          <w:szCs w:val="21"/>
        </w:rPr>
        <w:t xml:space="preserve"> V. viðauka:</w:t>
      </w:r>
    </w:p>
    <w:p w:rsidR="00804FA6" w:rsidRP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 w:rsidRPr="00804FA6">
        <w:rPr>
          <w:sz w:val="21"/>
          <w:szCs w:val="21"/>
        </w:rPr>
        <w:t xml:space="preserve">16. Umbeðin skjöl, samkvæmt samþykkt um vinnuskilyrði farmanna eru ekki lögð fram, eru ekki viðhaldin, eru fölsk eða, ef þau skjöl sem eru lögð fram, innihalda ekki </w:t>
      </w:r>
      <w:proofErr w:type="spellStart"/>
      <w:r w:rsidRPr="00804FA6">
        <w:rPr>
          <w:sz w:val="21"/>
          <w:szCs w:val="21"/>
        </w:rPr>
        <w:t>þær</w:t>
      </w:r>
      <w:proofErr w:type="spellEnd"/>
      <w:r w:rsidRPr="00804FA6">
        <w:rPr>
          <w:sz w:val="21"/>
          <w:szCs w:val="21"/>
        </w:rPr>
        <w:t xml:space="preserve"> upplýsingar sem </w:t>
      </w:r>
      <w:proofErr w:type="spellStart"/>
      <w:r w:rsidRPr="00804FA6">
        <w:rPr>
          <w:sz w:val="21"/>
          <w:szCs w:val="21"/>
        </w:rPr>
        <w:t>krafist</w:t>
      </w:r>
      <w:proofErr w:type="spellEnd"/>
      <w:r w:rsidRPr="00804FA6">
        <w:rPr>
          <w:sz w:val="21"/>
          <w:szCs w:val="21"/>
        </w:rPr>
        <w:t xml:space="preserve"> er, samkvæmt samþykkt um vinnuskilyrði farmanna, 2006, eða eru að öðru leyti ógild.</w:t>
      </w:r>
    </w:p>
    <w:p w:rsidR="00804FA6" w:rsidRP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 w:rsidRPr="00804FA6">
        <w:rPr>
          <w:sz w:val="21"/>
          <w:szCs w:val="21"/>
        </w:rPr>
        <w:t>17. Aðbúnaður og vinnuskilyrði um borð í skipinu eru ekki í samræmi við kröfur samþykktar um vinnuskilyrði farmanna.</w:t>
      </w:r>
    </w:p>
    <w:p w:rsidR="00804FA6" w:rsidRP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 w:rsidRPr="00804FA6">
        <w:rPr>
          <w:sz w:val="21"/>
          <w:szCs w:val="21"/>
        </w:rPr>
        <w:lastRenderedPageBreak/>
        <w:t xml:space="preserve">18. Rökstudd ástæða er til að ætla að skipið hafi skipt um fána í því skyni að forðast að uppfylla kröfur samþykktar um vinnuskilyrði farmanna.  </w:t>
      </w:r>
    </w:p>
    <w:p w:rsidR="00804FA6" w:rsidRPr="00804FA6" w:rsidRDefault="00804FA6" w:rsidP="00804FA6">
      <w:pPr>
        <w:pStyle w:val="NoSpacing"/>
        <w:ind w:firstLine="284"/>
        <w:rPr>
          <w:sz w:val="21"/>
          <w:szCs w:val="21"/>
        </w:rPr>
      </w:pPr>
      <w:r w:rsidRPr="00804FA6">
        <w:rPr>
          <w:vanish/>
          <w:sz w:val="21"/>
          <w:szCs w:val="21"/>
        </w:rPr>
        <w:t xml:space="preserve">cf </w:t>
      </w:r>
      <w:r w:rsidRPr="00804FA6">
        <w:rPr>
          <w:sz w:val="21"/>
          <w:szCs w:val="21"/>
        </w:rPr>
        <w:t>19. Kvartanir liggja fyrir þar sem gefið er í skyn að tiltekinn aðbúnaður og vinnuskilyrði um borð í skipinu séu ekki í samræmi við kröfur samþykktar um vinnuskilyrði farmanna.</w:t>
      </w:r>
    </w:p>
    <w:p w:rsidR="00804FA6" w:rsidRDefault="00804FA6" w:rsidP="00804FA6">
      <w:pPr>
        <w:pStyle w:val="NoSpacing"/>
        <w:jc w:val="both"/>
        <w:rPr>
          <w:sz w:val="21"/>
          <w:szCs w:val="21"/>
        </w:rPr>
      </w:pPr>
    </w:p>
    <w:p w:rsidR="00804FA6" w:rsidRDefault="00804FA6" w:rsidP="00804FA6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12. gr.</w:t>
      </w:r>
    </w:p>
    <w:p w:rsid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lið 3.10 í X. viðauka:</w:t>
      </w:r>
    </w:p>
    <w:p w:rsid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a) Fyrirsögnin verður eftirfarandi:</w:t>
      </w:r>
    </w:p>
    <w:p w:rsid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>
        <w:rPr>
          <w:i/>
          <w:sz w:val="21"/>
          <w:szCs w:val="21"/>
        </w:rPr>
        <w:t>Svið samkvæmt samþykktinni um vinnuskilyrði farmanna frá 2006.</w:t>
      </w:r>
    </w:p>
    <w:p w:rsid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</w:p>
    <w:p w:rsid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Eftirfarandi töluliðir </w:t>
      </w:r>
      <w:proofErr w:type="spellStart"/>
      <w:r>
        <w:rPr>
          <w:sz w:val="21"/>
          <w:szCs w:val="21"/>
        </w:rPr>
        <w:t>bætast</w:t>
      </w:r>
      <w:proofErr w:type="spellEnd"/>
      <w:r>
        <w:rPr>
          <w:sz w:val="21"/>
          <w:szCs w:val="21"/>
        </w:rPr>
        <w:t xml:space="preserve"> við upptalninguna:</w:t>
      </w:r>
    </w:p>
    <w:p w:rsidR="00804FA6" w:rsidRP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 w:rsidRPr="00804FA6">
        <w:rPr>
          <w:sz w:val="21"/>
          <w:szCs w:val="21"/>
        </w:rPr>
        <w:t>13.</w:t>
      </w:r>
      <w:r w:rsidRPr="00804FA6">
        <w:rPr>
          <w:sz w:val="21"/>
          <w:szCs w:val="21"/>
        </w:rPr>
        <w:tab/>
        <w:t>Aðstæður um borð stofna augljóslega öryggi, heilbrigði eða vernd farmanna í hættu.</w:t>
      </w:r>
    </w:p>
    <w:p w:rsid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 w:rsidRPr="00804FA6">
        <w:rPr>
          <w:sz w:val="21"/>
          <w:szCs w:val="21"/>
        </w:rPr>
        <w:t>14.</w:t>
      </w:r>
      <w:r w:rsidRPr="00804FA6">
        <w:rPr>
          <w:sz w:val="21"/>
          <w:szCs w:val="21"/>
        </w:rPr>
        <w:tab/>
        <w:t>Frávikið felur í sér alvarlegt eða endurtekið brot á kröfum samþykktar um vinnuskilyrði farmanna (</w:t>
      </w:r>
      <w:proofErr w:type="spellStart"/>
      <w:r w:rsidRPr="00804FA6">
        <w:rPr>
          <w:sz w:val="21"/>
          <w:szCs w:val="21"/>
        </w:rPr>
        <w:t>þ.m.t</w:t>
      </w:r>
      <w:proofErr w:type="spellEnd"/>
      <w:r w:rsidRPr="00804FA6">
        <w:rPr>
          <w:sz w:val="21"/>
          <w:szCs w:val="21"/>
        </w:rPr>
        <w:t xml:space="preserve">. á réttindum farmanna), í tengslum við aðbúnað og vinnuskilyrði farmanna um borð í skipinu, eins og mælt er fyrir um í skírteini skipsins um vinnuskilyrði farmanna og yfirlýsingu um samræmi við reglur um vinnuskilyrði farmanna.  </w:t>
      </w:r>
    </w:p>
    <w:p w:rsidR="00804FA6" w:rsidRDefault="00804FA6" w:rsidP="00804FA6">
      <w:pPr>
        <w:pStyle w:val="NoSpacing"/>
        <w:jc w:val="both"/>
        <w:rPr>
          <w:sz w:val="21"/>
          <w:szCs w:val="21"/>
        </w:rPr>
      </w:pPr>
    </w:p>
    <w:p w:rsidR="00804FA6" w:rsidRDefault="00804FA6" w:rsidP="00804FA6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13. gr.</w:t>
      </w:r>
    </w:p>
    <w:p w:rsidR="00804FA6" w:rsidRDefault="00804FA6" w:rsidP="00804FA6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 xml:space="preserve">Innleiðing á </w:t>
      </w:r>
      <w:proofErr w:type="spellStart"/>
      <w:r>
        <w:rPr>
          <w:i/>
          <w:sz w:val="21"/>
          <w:szCs w:val="21"/>
        </w:rPr>
        <w:t>EES-gerð</w:t>
      </w:r>
      <w:proofErr w:type="spellEnd"/>
      <w:r>
        <w:rPr>
          <w:i/>
          <w:sz w:val="21"/>
          <w:szCs w:val="21"/>
        </w:rPr>
        <w:t>.</w:t>
      </w:r>
    </w:p>
    <w:p w:rsidR="00804FA6" w:rsidRP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Reglugerð þessi er sett til innleiðingar á tilskipun Evrópuþingsins og ráðsins 2013/38/ESB frá 12. ágúst 2013 um breytingu á tilskipun 2009/16/EB um hafnarríkiseftirlit.</w:t>
      </w:r>
    </w:p>
    <w:p w:rsidR="00804FA6" w:rsidRDefault="00804FA6" w:rsidP="00804FA6">
      <w:pPr>
        <w:pStyle w:val="NoSpacing"/>
        <w:jc w:val="both"/>
        <w:rPr>
          <w:sz w:val="21"/>
          <w:szCs w:val="21"/>
        </w:rPr>
      </w:pPr>
    </w:p>
    <w:p w:rsidR="00804FA6" w:rsidRDefault="00804FA6" w:rsidP="00804FA6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14. gr.</w:t>
      </w:r>
    </w:p>
    <w:p w:rsidR="00804FA6" w:rsidRDefault="00804FA6" w:rsidP="00804FA6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>Lagastoð og gildistaka.</w:t>
      </w:r>
    </w:p>
    <w:p w:rsidR="00804FA6" w:rsidRPr="00804FA6" w:rsidRDefault="00804FA6" w:rsidP="00804FA6">
      <w:pPr>
        <w:pStyle w:val="NoSpacing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Reglugerð þessi er sett með heimild í 4. mgr. 1. gr., sbr. 14. gr. laga nr. 47/2003, um eftirlit með skipum, með síðari breytingum, og </w:t>
      </w:r>
      <w:proofErr w:type="spellStart"/>
      <w:r>
        <w:rPr>
          <w:sz w:val="21"/>
          <w:szCs w:val="21"/>
        </w:rPr>
        <w:t>öðlast</w:t>
      </w:r>
      <w:proofErr w:type="spellEnd"/>
      <w:r>
        <w:rPr>
          <w:sz w:val="21"/>
          <w:szCs w:val="21"/>
        </w:rPr>
        <w:t xml:space="preserve"> þegar gildi.</w:t>
      </w:r>
    </w:p>
    <w:sectPr w:rsidR="00804FA6" w:rsidRPr="00804FA6" w:rsidSect="00411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53" w:rsidRDefault="00707553" w:rsidP="00411540">
      <w:pPr>
        <w:spacing w:after="0" w:line="240" w:lineRule="auto"/>
      </w:pPr>
      <w:r>
        <w:separator/>
      </w:r>
    </w:p>
  </w:endnote>
  <w:endnote w:type="continuationSeparator" w:id="0">
    <w:p w:rsidR="00707553" w:rsidRDefault="00707553" w:rsidP="004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F2" w:rsidRDefault="00296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F2" w:rsidRDefault="00296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F2" w:rsidRDefault="00296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53" w:rsidRDefault="00707553" w:rsidP="00411540">
      <w:pPr>
        <w:spacing w:after="0" w:line="240" w:lineRule="auto"/>
      </w:pPr>
      <w:r>
        <w:separator/>
      </w:r>
    </w:p>
  </w:footnote>
  <w:footnote w:type="continuationSeparator" w:id="0">
    <w:p w:rsidR="00707553" w:rsidRDefault="00707553" w:rsidP="004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F2" w:rsidRDefault="002964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43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F2" w:rsidRDefault="002964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439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F2" w:rsidRDefault="002964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43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71E"/>
    <w:multiLevelType w:val="hybridMultilevel"/>
    <w:tmpl w:val="0AEEA464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B4591"/>
    <w:multiLevelType w:val="hybridMultilevel"/>
    <w:tmpl w:val="4BC2A29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9EC06FF"/>
    <w:multiLevelType w:val="hybridMultilevel"/>
    <w:tmpl w:val="4BC2A29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7"/>
    <w:rsid w:val="00020EDC"/>
    <w:rsid w:val="000253AC"/>
    <w:rsid w:val="00030675"/>
    <w:rsid w:val="00040524"/>
    <w:rsid w:val="00042CB5"/>
    <w:rsid w:val="00043199"/>
    <w:rsid w:val="00043453"/>
    <w:rsid w:val="00043ABE"/>
    <w:rsid w:val="00061724"/>
    <w:rsid w:val="00063251"/>
    <w:rsid w:val="00082349"/>
    <w:rsid w:val="00091FE9"/>
    <w:rsid w:val="00095C02"/>
    <w:rsid w:val="000A2FA0"/>
    <w:rsid w:val="000C2CE2"/>
    <w:rsid w:val="000C2DEC"/>
    <w:rsid w:val="000D3E21"/>
    <w:rsid w:val="000D7034"/>
    <w:rsid w:val="000E642B"/>
    <w:rsid w:val="000F19CE"/>
    <w:rsid w:val="000F5818"/>
    <w:rsid w:val="001001A0"/>
    <w:rsid w:val="00100820"/>
    <w:rsid w:val="00100831"/>
    <w:rsid w:val="00104E87"/>
    <w:rsid w:val="00106C86"/>
    <w:rsid w:val="001116BA"/>
    <w:rsid w:val="00122682"/>
    <w:rsid w:val="0012537A"/>
    <w:rsid w:val="00126517"/>
    <w:rsid w:val="001269D8"/>
    <w:rsid w:val="00132000"/>
    <w:rsid w:val="001474D0"/>
    <w:rsid w:val="00152A37"/>
    <w:rsid w:val="00166E32"/>
    <w:rsid w:val="00171195"/>
    <w:rsid w:val="00195940"/>
    <w:rsid w:val="001B2704"/>
    <w:rsid w:val="001B3BB8"/>
    <w:rsid w:val="001B42E3"/>
    <w:rsid w:val="001B488D"/>
    <w:rsid w:val="001B4E7D"/>
    <w:rsid w:val="001D78FB"/>
    <w:rsid w:val="001E3FA7"/>
    <w:rsid w:val="001E581E"/>
    <w:rsid w:val="001F4113"/>
    <w:rsid w:val="001F7B31"/>
    <w:rsid w:val="00200B1A"/>
    <w:rsid w:val="00213855"/>
    <w:rsid w:val="00215DB7"/>
    <w:rsid w:val="0022245A"/>
    <w:rsid w:val="00237D4A"/>
    <w:rsid w:val="00241226"/>
    <w:rsid w:val="00242C66"/>
    <w:rsid w:val="002506BF"/>
    <w:rsid w:val="0025310B"/>
    <w:rsid w:val="00255C9A"/>
    <w:rsid w:val="00260806"/>
    <w:rsid w:val="0026082D"/>
    <w:rsid w:val="002721C7"/>
    <w:rsid w:val="00282638"/>
    <w:rsid w:val="00284C53"/>
    <w:rsid w:val="00287F67"/>
    <w:rsid w:val="002964F2"/>
    <w:rsid w:val="00297BFB"/>
    <w:rsid w:val="002A338E"/>
    <w:rsid w:val="002A3A5D"/>
    <w:rsid w:val="002B7584"/>
    <w:rsid w:val="002C0960"/>
    <w:rsid w:val="002C3120"/>
    <w:rsid w:val="002C373F"/>
    <w:rsid w:val="002C54EC"/>
    <w:rsid w:val="002D1177"/>
    <w:rsid w:val="002D6640"/>
    <w:rsid w:val="002D7CFD"/>
    <w:rsid w:val="002E54C6"/>
    <w:rsid w:val="003150BD"/>
    <w:rsid w:val="00322D3A"/>
    <w:rsid w:val="003233AC"/>
    <w:rsid w:val="0032588E"/>
    <w:rsid w:val="003309AD"/>
    <w:rsid w:val="003412D0"/>
    <w:rsid w:val="0034453F"/>
    <w:rsid w:val="00344E36"/>
    <w:rsid w:val="00354356"/>
    <w:rsid w:val="00361C52"/>
    <w:rsid w:val="00366187"/>
    <w:rsid w:val="00372F49"/>
    <w:rsid w:val="003743F7"/>
    <w:rsid w:val="00382DFA"/>
    <w:rsid w:val="00383596"/>
    <w:rsid w:val="003864F5"/>
    <w:rsid w:val="003920EC"/>
    <w:rsid w:val="0039216E"/>
    <w:rsid w:val="003931AC"/>
    <w:rsid w:val="00393236"/>
    <w:rsid w:val="00394CA3"/>
    <w:rsid w:val="003A0C28"/>
    <w:rsid w:val="003A7BC5"/>
    <w:rsid w:val="003B04D3"/>
    <w:rsid w:val="003B0FF7"/>
    <w:rsid w:val="003B2771"/>
    <w:rsid w:val="003C268A"/>
    <w:rsid w:val="003C71D5"/>
    <w:rsid w:val="003D357E"/>
    <w:rsid w:val="003D64E8"/>
    <w:rsid w:val="003E5F31"/>
    <w:rsid w:val="003F06C8"/>
    <w:rsid w:val="003F27B3"/>
    <w:rsid w:val="003F2C28"/>
    <w:rsid w:val="00411540"/>
    <w:rsid w:val="00414E25"/>
    <w:rsid w:val="004223ED"/>
    <w:rsid w:val="004237D9"/>
    <w:rsid w:val="004251A4"/>
    <w:rsid w:val="004334D2"/>
    <w:rsid w:val="00442354"/>
    <w:rsid w:val="004469E1"/>
    <w:rsid w:val="00454BE3"/>
    <w:rsid w:val="004552A5"/>
    <w:rsid w:val="00461504"/>
    <w:rsid w:val="004628F8"/>
    <w:rsid w:val="00471946"/>
    <w:rsid w:val="00471B81"/>
    <w:rsid w:val="00474247"/>
    <w:rsid w:val="004751C4"/>
    <w:rsid w:val="004762EA"/>
    <w:rsid w:val="00485632"/>
    <w:rsid w:val="004A0DB6"/>
    <w:rsid w:val="004A1416"/>
    <w:rsid w:val="004A1FEB"/>
    <w:rsid w:val="004A53F3"/>
    <w:rsid w:val="004B3819"/>
    <w:rsid w:val="004B767C"/>
    <w:rsid w:val="004C62F2"/>
    <w:rsid w:val="004D103C"/>
    <w:rsid w:val="004E7D30"/>
    <w:rsid w:val="004F2D2D"/>
    <w:rsid w:val="004F4669"/>
    <w:rsid w:val="00506D09"/>
    <w:rsid w:val="00517E5D"/>
    <w:rsid w:val="00521947"/>
    <w:rsid w:val="00522FB7"/>
    <w:rsid w:val="005230C4"/>
    <w:rsid w:val="005301C6"/>
    <w:rsid w:val="005311C3"/>
    <w:rsid w:val="00533495"/>
    <w:rsid w:val="005414C8"/>
    <w:rsid w:val="0054184D"/>
    <w:rsid w:val="00547FAA"/>
    <w:rsid w:val="00555CF1"/>
    <w:rsid w:val="005623B9"/>
    <w:rsid w:val="00563604"/>
    <w:rsid w:val="00567A99"/>
    <w:rsid w:val="00575A0B"/>
    <w:rsid w:val="00580A9F"/>
    <w:rsid w:val="00590851"/>
    <w:rsid w:val="00592A7A"/>
    <w:rsid w:val="00594411"/>
    <w:rsid w:val="005A36FF"/>
    <w:rsid w:val="005A5B67"/>
    <w:rsid w:val="005B12E3"/>
    <w:rsid w:val="005C45B6"/>
    <w:rsid w:val="005C5CF1"/>
    <w:rsid w:val="005D0B29"/>
    <w:rsid w:val="005F203F"/>
    <w:rsid w:val="00610605"/>
    <w:rsid w:val="00611F8C"/>
    <w:rsid w:val="006210F9"/>
    <w:rsid w:val="0062189A"/>
    <w:rsid w:val="00623888"/>
    <w:rsid w:val="00647A2E"/>
    <w:rsid w:val="00652F16"/>
    <w:rsid w:val="00663D6E"/>
    <w:rsid w:val="00674C4B"/>
    <w:rsid w:val="00676A65"/>
    <w:rsid w:val="006872DB"/>
    <w:rsid w:val="00692CD1"/>
    <w:rsid w:val="00697722"/>
    <w:rsid w:val="006A1F76"/>
    <w:rsid w:val="006A4403"/>
    <w:rsid w:val="006A53C4"/>
    <w:rsid w:val="006B0A39"/>
    <w:rsid w:val="006B3B5A"/>
    <w:rsid w:val="006B4F9C"/>
    <w:rsid w:val="006B74A0"/>
    <w:rsid w:val="006B7ABA"/>
    <w:rsid w:val="006C0064"/>
    <w:rsid w:val="006C7FD2"/>
    <w:rsid w:val="006D4D8C"/>
    <w:rsid w:val="006F19D9"/>
    <w:rsid w:val="006F6305"/>
    <w:rsid w:val="00700786"/>
    <w:rsid w:val="00707553"/>
    <w:rsid w:val="00717415"/>
    <w:rsid w:val="00720C0A"/>
    <w:rsid w:val="0072231F"/>
    <w:rsid w:val="00724427"/>
    <w:rsid w:val="007267C0"/>
    <w:rsid w:val="00726C8B"/>
    <w:rsid w:val="0073128A"/>
    <w:rsid w:val="0073178E"/>
    <w:rsid w:val="00733805"/>
    <w:rsid w:val="00734889"/>
    <w:rsid w:val="00735B13"/>
    <w:rsid w:val="00750EB6"/>
    <w:rsid w:val="00752E1E"/>
    <w:rsid w:val="00771746"/>
    <w:rsid w:val="00785EE6"/>
    <w:rsid w:val="007A4EA9"/>
    <w:rsid w:val="007B0500"/>
    <w:rsid w:val="007B277B"/>
    <w:rsid w:val="007C3212"/>
    <w:rsid w:val="007C60EA"/>
    <w:rsid w:val="007D581A"/>
    <w:rsid w:val="007D5E60"/>
    <w:rsid w:val="007E3CA0"/>
    <w:rsid w:val="007E5B14"/>
    <w:rsid w:val="007F162D"/>
    <w:rsid w:val="007F294E"/>
    <w:rsid w:val="00800DF8"/>
    <w:rsid w:val="00802FE6"/>
    <w:rsid w:val="00803664"/>
    <w:rsid w:val="00804FA6"/>
    <w:rsid w:val="00824A81"/>
    <w:rsid w:val="00825013"/>
    <w:rsid w:val="00827A4C"/>
    <w:rsid w:val="00831F70"/>
    <w:rsid w:val="00835515"/>
    <w:rsid w:val="00835762"/>
    <w:rsid w:val="00840CD3"/>
    <w:rsid w:val="00847E5E"/>
    <w:rsid w:val="00856B6C"/>
    <w:rsid w:val="0085726F"/>
    <w:rsid w:val="00863E86"/>
    <w:rsid w:val="00870F6E"/>
    <w:rsid w:val="00874CA7"/>
    <w:rsid w:val="008823A4"/>
    <w:rsid w:val="008861DC"/>
    <w:rsid w:val="008A38DD"/>
    <w:rsid w:val="008A66B9"/>
    <w:rsid w:val="008A66E0"/>
    <w:rsid w:val="008C74C6"/>
    <w:rsid w:val="008D183A"/>
    <w:rsid w:val="008D4988"/>
    <w:rsid w:val="008E7527"/>
    <w:rsid w:val="008E7FF7"/>
    <w:rsid w:val="008F6FBD"/>
    <w:rsid w:val="009004FA"/>
    <w:rsid w:val="00906D84"/>
    <w:rsid w:val="00916E0C"/>
    <w:rsid w:val="00917ABF"/>
    <w:rsid w:val="00931087"/>
    <w:rsid w:val="00945DED"/>
    <w:rsid w:val="00953DD4"/>
    <w:rsid w:val="00957AE7"/>
    <w:rsid w:val="00963307"/>
    <w:rsid w:val="00966FBA"/>
    <w:rsid w:val="00970F59"/>
    <w:rsid w:val="0097332A"/>
    <w:rsid w:val="00977F8D"/>
    <w:rsid w:val="00980111"/>
    <w:rsid w:val="009804B5"/>
    <w:rsid w:val="00986DA8"/>
    <w:rsid w:val="0099087C"/>
    <w:rsid w:val="009946A7"/>
    <w:rsid w:val="009A48D1"/>
    <w:rsid w:val="009A77F7"/>
    <w:rsid w:val="009B7EC5"/>
    <w:rsid w:val="009C6151"/>
    <w:rsid w:val="009D5F4F"/>
    <w:rsid w:val="009E7E38"/>
    <w:rsid w:val="009E7EA3"/>
    <w:rsid w:val="009F12A5"/>
    <w:rsid w:val="00A029F2"/>
    <w:rsid w:val="00A11D48"/>
    <w:rsid w:val="00A14B8F"/>
    <w:rsid w:val="00A36A56"/>
    <w:rsid w:val="00A41813"/>
    <w:rsid w:val="00A4288C"/>
    <w:rsid w:val="00A455CF"/>
    <w:rsid w:val="00A501CF"/>
    <w:rsid w:val="00A50EDA"/>
    <w:rsid w:val="00A51F98"/>
    <w:rsid w:val="00A5450C"/>
    <w:rsid w:val="00A62722"/>
    <w:rsid w:val="00A676E4"/>
    <w:rsid w:val="00A81E3C"/>
    <w:rsid w:val="00A83DAC"/>
    <w:rsid w:val="00A93AF1"/>
    <w:rsid w:val="00A9527F"/>
    <w:rsid w:val="00A95E68"/>
    <w:rsid w:val="00AA414F"/>
    <w:rsid w:val="00AE4C56"/>
    <w:rsid w:val="00AF191A"/>
    <w:rsid w:val="00AF3CD5"/>
    <w:rsid w:val="00AF5AAD"/>
    <w:rsid w:val="00AF7972"/>
    <w:rsid w:val="00B036AE"/>
    <w:rsid w:val="00B0402D"/>
    <w:rsid w:val="00B16A9E"/>
    <w:rsid w:val="00B25456"/>
    <w:rsid w:val="00B31AEB"/>
    <w:rsid w:val="00B3331D"/>
    <w:rsid w:val="00B35DA6"/>
    <w:rsid w:val="00B42134"/>
    <w:rsid w:val="00B429ED"/>
    <w:rsid w:val="00B47BE7"/>
    <w:rsid w:val="00B5505A"/>
    <w:rsid w:val="00B5782E"/>
    <w:rsid w:val="00B7023F"/>
    <w:rsid w:val="00B70D8B"/>
    <w:rsid w:val="00B928FD"/>
    <w:rsid w:val="00B96E80"/>
    <w:rsid w:val="00B96F71"/>
    <w:rsid w:val="00BA1C60"/>
    <w:rsid w:val="00BA6E09"/>
    <w:rsid w:val="00BB1AF7"/>
    <w:rsid w:val="00BB5443"/>
    <w:rsid w:val="00BC1326"/>
    <w:rsid w:val="00BD13D6"/>
    <w:rsid w:val="00BD5C14"/>
    <w:rsid w:val="00BD763F"/>
    <w:rsid w:val="00BE4593"/>
    <w:rsid w:val="00BF53A5"/>
    <w:rsid w:val="00BF5C20"/>
    <w:rsid w:val="00C0292F"/>
    <w:rsid w:val="00C04DAF"/>
    <w:rsid w:val="00C12BEB"/>
    <w:rsid w:val="00C21E9C"/>
    <w:rsid w:val="00C25330"/>
    <w:rsid w:val="00C338DA"/>
    <w:rsid w:val="00C36C10"/>
    <w:rsid w:val="00C447A6"/>
    <w:rsid w:val="00C44D2F"/>
    <w:rsid w:val="00C54D79"/>
    <w:rsid w:val="00C74427"/>
    <w:rsid w:val="00C74F6B"/>
    <w:rsid w:val="00C77A6E"/>
    <w:rsid w:val="00C87164"/>
    <w:rsid w:val="00C87B62"/>
    <w:rsid w:val="00C9290D"/>
    <w:rsid w:val="00C947D1"/>
    <w:rsid w:val="00CA024F"/>
    <w:rsid w:val="00CA1B70"/>
    <w:rsid w:val="00CA2A1B"/>
    <w:rsid w:val="00CA7136"/>
    <w:rsid w:val="00CB6FE8"/>
    <w:rsid w:val="00CB7DED"/>
    <w:rsid w:val="00CD4D60"/>
    <w:rsid w:val="00CE0C72"/>
    <w:rsid w:val="00CE3647"/>
    <w:rsid w:val="00CE6A23"/>
    <w:rsid w:val="00CF06A9"/>
    <w:rsid w:val="00CF182C"/>
    <w:rsid w:val="00CF5508"/>
    <w:rsid w:val="00D06AB1"/>
    <w:rsid w:val="00D06C31"/>
    <w:rsid w:val="00D17C42"/>
    <w:rsid w:val="00D26F7C"/>
    <w:rsid w:val="00D304FF"/>
    <w:rsid w:val="00D3082B"/>
    <w:rsid w:val="00D33964"/>
    <w:rsid w:val="00D36118"/>
    <w:rsid w:val="00D505B1"/>
    <w:rsid w:val="00D51684"/>
    <w:rsid w:val="00D57D5D"/>
    <w:rsid w:val="00D6164A"/>
    <w:rsid w:val="00D62F51"/>
    <w:rsid w:val="00D75223"/>
    <w:rsid w:val="00DA480A"/>
    <w:rsid w:val="00DB3FFE"/>
    <w:rsid w:val="00DB6F43"/>
    <w:rsid w:val="00DC204F"/>
    <w:rsid w:val="00DD09DC"/>
    <w:rsid w:val="00DD3140"/>
    <w:rsid w:val="00DD4B01"/>
    <w:rsid w:val="00DF2C65"/>
    <w:rsid w:val="00DF3294"/>
    <w:rsid w:val="00E032DA"/>
    <w:rsid w:val="00E152A2"/>
    <w:rsid w:val="00E237EA"/>
    <w:rsid w:val="00E30164"/>
    <w:rsid w:val="00E301F8"/>
    <w:rsid w:val="00E316A3"/>
    <w:rsid w:val="00E4198B"/>
    <w:rsid w:val="00E43E84"/>
    <w:rsid w:val="00E529E0"/>
    <w:rsid w:val="00E62D37"/>
    <w:rsid w:val="00E67D83"/>
    <w:rsid w:val="00E714EF"/>
    <w:rsid w:val="00E848B3"/>
    <w:rsid w:val="00E8725A"/>
    <w:rsid w:val="00E90AC9"/>
    <w:rsid w:val="00E91B7C"/>
    <w:rsid w:val="00E92925"/>
    <w:rsid w:val="00E931A1"/>
    <w:rsid w:val="00E93DE3"/>
    <w:rsid w:val="00EA00BC"/>
    <w:rsid w:val="00EA1E50"/>
    <w:rsid w:val="00EA2FF6"/>
    <w:rsid w:val="00EA34DE"/>
    <w:rsid w:val="00EB11C3"/>
    <w:rsid w:val="00EB2214"/>
    <w:rsid w:val="00EB4268"/>
    <w:rsid w:val="00EC29E0"/>
    <w:rsid w:val="00EC51AC"/>
    <w:rsid w:val="00ED2B13"/>
    <w:rsid w:val="00ED69A3"/>
    <w:rsid w:val="00EE1092"/>
    <w:rsid w:val="00EE37FA"/>
    <w:rsid w:val="00EF0630"/>
    <w:rsid w:val="00F04397"/>
    <w:rsid w:val="00F0550F"/>
    <w:rsid w:val="00F06497"/>
    <w:rsid w:val="00F067AC"/>
    <w:rsid w:val="00F14C27"/>
    <w:rsid w:val="00F21EF8"/>
    <w:rsid w:val="00F338CF"/>
    <w:rsid w:val="00F36FEC"/>
    <w:rsid w:val="00F37C51"/>
    <w:rsid w:val="00F6430B"/>
    <w:rsid w:val="00F658CF"/>
    <w:rsid w:val="00F67E53"/>
    <w:rsid w:val="00F706DE"/>
    <w:rsid w:val="00F80666"/>
    <w:rsid w:val="00F845A5"/>
    <w:rsid w:val="00F87355"/>
    <w:rsid w:val="00F95252"/>
    <w:rsid w:val="00FA362B"/>
    <w:rsid w:val="00FA58BC"/>
    <w:rsid w:val="00FD1EA6"/>
    <w:rsid w:val="00FD6BF9"/>
    <w:rsid w:val="00FE0C74"/>
    <w:rsid w:val="00FE54BA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E0"/>
    <w:pPr>
      <w:spacing w:after="0" w:line="240" w:lineRule="auto"/>
    </w:pPr>
  </w:style>
  <w:style w:type="paragraph" w:customStyle="1" w:styleId="Frumvarp-athugasemdirfyrirsgn">
    <w:name w:val="Frumvarp-athugasemdir fyrirsögn"/>
    <w:basedOn w:val="Heading2"/>
    <w:autoRedefine/>
    <w:rsid w:val="00E529E0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Arial"/>
      <w:b w:val="0"/>
      <w:iCs/>
      <w:color w:val="auto"/>
      <w:spacing w:val="40"/>
      <w:sz w:val="32"/>
      <w:szCs w:val="32"/>
      <w:lang w:val="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40"/>
  </w:style>
  <w:style w:type="paragraph" w:styleId="Footer">
    <w:name w:val="footer"/>
    <w:basedOn w:val="Normal"/>
    <w:link w:val="FooterChar"/>
    <w:uiPriority w:val="99"/>
    <w:unhideWhenUsed/>
    <w:rsid w:val="0041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E0"/>
    <w:pPr>
      <w:spacing w:after="0" w:line="240" w:lineRule="auto"/>
    </w:pPr>
  </w:style>
  <w:style w:type="paragraph" w:customStyle="1" w:styleId="Frumvarp-athugasemdirfyrirsgn">
    <w:name w:val="Frumvarp-athugasemdir fyrirsögn"/>
    <w:basedOn w:val="Heading2"/>
    <w:autoRedefine/>
    <w:rsid w:val="00E529E0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Arial"/>
      <w:b w:val="0"/>
      <w:iCs/>
      <w:color w:val="auto"/>
      <w:spacing w:val="40"/>
      <w:sz w:val="32"/>
      <w:szCs w:val="32"/>
      <w:lang w:val="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40"/>
  </w:style>
  <w:style w:type="paragraph" w:styleId="Footer">
    <w:name w:val="footer"/>
    <w:basedOn w:val="Normal"/>
    <w:link w:val="FooterChar"/>
    <w:uiPriority w:val="99"/>
    <w:unhideWhenUsed/>
    <w:rsid w:val="0041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Freyr Björnsson</dc:creator>
  <cp:keywords/>
  <dc:description/>
  <cp:lastModifiedBy>Björn Freyr Björnsson</cp:lastModifiedBy>
  <cp:revision>8</cp:revision>
  <cp:lastPrinted>2015-07-01T08:11:00Z</cp:lastPrinted>
  <dcterms:created xsi:type="dcterms:W3CDTF">2015-06-25T10:18:00Z</dcterms:created>
  <dcterms:modified xsi:type="dcterms:W3CDTF">2015-07-03T09:50:00Z</dcterms:modified>
</cp:coreProperties>
</file>